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1A7" w:rsidRPr="004A51A7" w:rsidRDefault="004A51A7" w:rsidP="004A51A7">
      <w:pPr>
        <w:pBdr>
          <w:bottom w:val="single" w:sz="6" w:space="1" w:color="auto"/>
        </w:pBdr>
        <w:tabs>
          <w:tab w:val="center" w:pos="4536"/>
          <w:tab w:val="right" w:pos="9072"/>
        </w:tabs>
        <w:spacing w:after="160" w:line="259" w:lineRule="auto"/>
        <w:rPr>
          <w:rFonts w:ascii="Calibri" w:eastAsia="Calibri" w:hAnsi="Calibri" w:cs="Times New Roman"/>
          <w:sz w:val="10"/>
          <w:szCs w:val="10"/>
          <w:lang w:eastAsia="bg-BG"/>
        </w:rPr>
      </w:pPr>
    </w:p>
    <w:p w:rsidR="00D264A0" w:rsidRPr="00130D63" w:rsidRDefault="00D264A0" w:rsidP="00D264A0">
      <w:pPr>
        <w:tabs>
          <w:tab w:val="left" w:pos="213"/>
        </w:tabs>
        <w:jc w:val="center"/>
        <w:rPr>
          <w:rFonts w:ascii="Times New Roman" w:hAnsi="Times New Roman" w:cs="Times New Roman"/>
          <w:b/>
        </w:rPr>
      </w:pPr>
      <w:r w:rsidRPr="00130D63">
        <w:rPr>
          <w:rFonts w:ascii="Times New Roman" w:hAnsi="Times New Roman" w:cs="Times New Roman"/>
          <w:b/>
        </w:rPr>
        <w:t>МЕСТНА ИНИЦИАТИВНА ГРУПА „СТАМБОЛОВО – КЪРДЖАЛИ 54“</w:t>
      </w:r>
    </w:p>
    <w:p w:rsidR="004A51A7" w:rsidRPr="004A51A7" w:rsidRDefault="004A51A7" w:rsidP="00F97F94">
      <w:pPr>
        <w:spacing w:after="0" w:line="259" w:lineRule="auto"/>
        <w:rPr>
          <w:rFonts w:ascii="Times New Roman" w:eastAsia="Calibri" w:hAnsi="Times New Roman" w:cs="Times New Roman"/>
          <w:b/>
          <w:i/>
          <w:iCs/>
          <w:lang w:eastAsia="bg-BG"/>
        </w:rPr>
      </w:pPr>
      <w:bookmarkStart w:id="0" w:name="_GoBack"/>
      <w:bookmarkEnd w:id="0"/>
    </w:p>
    <w:p w:rsidR="00B45181" w:rsidRDefault="00B45181" w:rsidP="00B451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5181" w:rsidRDefault="00851F2F" w:rsidP="00B451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5F1A51">
        <w:rPr>
          <w:rFonts w:ascii="Times New Roman" w:hAnsi="Times New Roman" w:cs="Times New Roman"/>
          <w:b/>
          <w:sz w:val="24"/>
          <w:szCs w:val="24"/>
        </w:rPr>
        <w:t>1</w:t>
      </w:r>
      <w:r w:rsidR="00861E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181">
        <w:rPr>
          <w:rFonts w:ascii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851F2F" w:rsidRPr="00B45181" w:rsidRDefault="00F97204" w:rsidP="00B451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bCs/>
        </w:rPr>
        <w:t>– за информация</w:t>
      </w:r>
    </w:p>
    <w:p w:rsidR="00B45181" w:rsidRDefault="00B45181" w:rsidP="00851F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F2F" w:rsidRPr="00851F2F" w:rsidRDefault="00851F2F" w:rsidP="00851F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F2F">
        <w:rPr>
          <w:rFonts w:ascii="Times New Roman" w:hAnsi="Times New Roman" w:cs="Times New Roman"/>
          <w:b/>
          <w:sz w:val="24"/>
          <w:szCs w:val="24"/>
        </w:rPr>
        <w:t>ИЗПОЛЗВАНИ СЪКРАЩЕНИЯ И ОСНОВНИ ДЕФИНИЦИИ</w:t>
      </w:r>
    </w:p>
    <w:p w:rsidR="0076171E" w:rsidRDefault="0076171E" w:rsidP="00851F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F2F" w:rsidRPr="00851F2F" w:rsidRDefault="00851F2F" w:rsidP="00851F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F2F">
        <w:rPr>
          <w:rFonts w:ascii="Times New Roman" w:hAnsi="Times New Roman" w:cs="Times New Roman"/>
          <w:b/>
          <w:sz w:val="24"/>
          <w:szCs w:val="24"/>
        </w:rPr>
        <w:t>По смисъла на условията за кандидатстване и условията за изпълнение: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1. „Актив" е материален или нематериален актив по смисъла на Регламент (ЕС) № 651/2014 на Европейската комисия от 17 юни 2014 г. за обявяване на някои категории помощи за съвместими с вътрешния пазар в приложение на членове 107 и 108 от Договора (ОВ, L, бр. 187 от 26 юни 2014 г.).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2. „Възстановим ДДС" е ДДС, подлежащ на възстановяване от компетентен орган по приходите съгласно разпоредбите на ЗДДС, и представлява недопустим разход по тази наредба.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>3. „Изкуствено създадени условия" са инвестиции, за които е установена функционална несамостоятелност и/или изкуствено създадени условия за получаване на помощта с цел осъществяване на предимство в противоречие с целите на мярката.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5. „Интензитет на помощта" е съотношението на публичното финансиране спрямо допустимите разходи по проекта, изразено в процент.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6. „Кандидат" е лице, подало проектно предложение към стратегия за ВОМР.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>7. „Мярка" /</w:t>
      </w:r>
      <w:r w:rsidRPr="00851F2F">
        <w:rPr>
          <w:rStyle w:val="ldef2"/>
          <w:rFonts w:ascii="Times New Roman" w:hAnsi="Times New Roman"/>
          <w:color w:val="auto"/>
          <w:sz w:val="24"/>
          <w:szCs w:val="24"/>
        </w:rPr>
        <w:t>„Подмярка"/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съвкупност от дейности, спомагащи за прилагане приоритетите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Стратегията за ВОМР на МИГ и/или на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ПРСР 2014 - 2020 г.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8. „Невъзстановим ДДС" е ДДС, неподлежащ на възстановяване от компетентен орган по приходите съгласно разпоредбите на ЗДДС, и представлява допустим разход по тази наредба.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9. „Нередност" е понятие по смисъла на чл. 2, параграф 1, т. 36 от Регламент № 1303/2013 г. 10. „Неопреодолима сила или извънредно обстоятелство" е понятие по смисъла на чл. 2, параграф 2 от Регламент (ЕС) № 1306/2013 на Европейския парламент и на Съвета от 17 декември 2013 г. относно финансирането, управлението и мониторинга на общата селскостопанска политика и за отмяна на регламенти (ЕИО) № 352/78, (ЕО) № 165/94, (ЕО) № </w:t>
      </w:r>
      <w:r w:rsidRPr="00851F2F">
        <w:rPr>
          <w:rFonts w:ascii="Times New Roman" w:hAnsi="Times New Roman" w:cs="Times New Roman"/>
          <w:sz w:val="24"/>
          <w:szCs w:val="24"/>
        </w:rPr>
        <w:lastRenderedPageBreak/>
        <w:t xml:space="preserve">2799/98, (ЕО) № 814/2000, (ЕО) № 1290/2005 и (ЕО) № 485/2008 на Съвета (ОВ, L, бр. 347 от 20 декември 2013 г.).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11. „Обикновена подмяна" е замяна на дълготраен актив с друг, която не води до качествени или количествени изменения на произведения продукт.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12. „Обособена част от проекта" е завършен етап на изпълнение на проекта, който е обособен и е доведен до самостоятелна степен на завършеност.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15. „Получател на финансова помощ" е бенефициент по смисъла на Закона за управление на средствата от Европейските структурни и инвестиционни фондове.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16. „Проверка на място" е проверка по смисъла на Регламент (ЕО) № 809/2014. </w:t>
      </w:r>
    </w:p>
    <w:p w:rsidR="00851F2F" w:rsidRPr="00851F2F" w:rsidRDefault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20. „Референтни разходи" са пазарни цени, ползвани от ДФЗ за сравнение при определяне основателността на разхода за различни инвестиции и/или общи разходи, определени чрез сравнение с цени на националния пазар или в други държави - членки на Европейския съюз.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23. „Функционална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25. „Финансова помощ" е безвъзмездна финансова помощ по смисъла на Закона за управление на средствата от Европейските структурни и инвестиционни фондове. </w:t>
      </w:r>
    </w:p>
    <w:p w:rsidR="00851F2F" w:rsidRPr="00AB2DE5" w:rsidRDefault="00851F2F" w:rsidP="00AB2DE5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>26. Изчисленията за определяне на сумите по СВОМР за територията на МИГ – се определят по курс 1,9558 лева за 1 евро</w:t>
      </w:r>
    </w:p>
    <w:p w:rsidR="00851F2F" w:rsidRPr="00851F2F" w:rsidRDefault="00851F2F" w:rsidP="00851F2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1F2F">
        <w:rPr>
          <w:rFonts w:ascii="Times New Roman" w:hAnsi="Times New Roman" w:cs="Times New Roman"/>
          <w:b/>
          <w:sz w:val="24"/>
          <w:szCs w:val="24"/>
        </w:rPr>
        <w:t>Допълнителни пояснения и определения  по условията за прилагане на мярка 4.</w:t>
      </w:r>
      <w:r w:rsidR="004D7ED3">
        <w:rPr>
          <w:rFonts w:ascii="Times New Roman" w:hAnsi="Times New Roman" w:cs="Times New Roman"/>
          <w:b/>
          <w:sz w:val="24"/>
          <w:szCs w:val="24"/>
        </w:rPr>
        <w:t>1</w:t>
      </w:r>
      <w:r w:rsidRPr="00851F2F">
        <w:rPr>
          <w:rFonts w:ascii="Times New Roman" w:hAnsi="Times New Roman" w:cs="Times New Roman"/>
          <w:b/>
          <w:sz w:val="24"/>
          <w:szCs w:val="24"/>
        </w:rPr>
        <w:t>. от СВОМР на МИГ”: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1.</w:t>
      </w:r>
      <w:r w:rsidRPr="00851F2F">
        <w:rPr>
          <w:rStyle w:val="ldef2"/>
          <w:rFonts w:ascii="Times New Roman" w:hAnsi="Times New Roman"/>
          <w:sz w:val="24"/>
          <w:szCs w:val="24"/>
        </w:rPr>
        <w:t>„Административни проверки"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проверки съгласно условията и разпоредбите на чл. 48 от Регламент за изпълнение (ЕС) № 809/2014.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2.</w:t>
      </w:r>
      <w:r w:rsidRPr="00851F2F">
        <w:rPr>
          <w:rStyle w:val="ldef2"/>
          <w:rFonts w:ascii="Times New Roman" w:hAnsi="Times New Roman"/>
          <w:sz w:val="24"/>
          <w:szCs w:val="24"/>
        </w:rPr>
        <w:t>„Авансово плащане"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плащане по смисъла на чл. 63 от Регламент (ЕС) № 1305/2013 на Европейския парламент и на Съвета от 17 декември 2013 г. относно подпомагане на развитието на селските райони от Европейския земеделски фонд за развитие на селските райони (ЕЗФРСР) и за отмяна на Регламент (ЕО) № 1698/2005 на Съвета (ОВ, L 347/487 от 20 декември 2013 г.).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14.</w:t>
      </w:r>
      <w:r w:rsidRPr="00851F2F">
        <w:rPr>
          <w:rStyle w:val="ldef2"/>
          <w:rFonts w:ascii="Times New Roman" w:hAnsi="Times New Roman"/>
          <w:sz w:val="24"/>
          <w:szCs w:val="24"/>
        </w:rPr>
        <w:t>„Икономически размер на стопанство"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размерът на земеделското стопанство, изразен в стандартен производствен обем.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lastRenderedPageBreak/>
        <w:t>17.</w:t>
      </w:r>
      <w:r w:rsidRPr="00851F2F">
        <w:rPr>
          <w:rStyle w:val="ldef2"/>
          <w:rFonts w:ascii="Times New Roman" w:hAnsi="Times New Roman"/>
          <w:sz w:val="24"/>
          <w:szCs w:val="24"/>
        </w:rPr>
        <w:t>„Колективни инвестиции"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инвестиции, свързани с осигуряване на сътрудничеството над 6 земеделски стопани</w:t>
      </w:r>
      <w:r w:rsidR="00E70D44">
        <w:rPr>
          <w:rFonts w:ascii="Times New Roman" w:hAnsi="Times New Roman" w:cs="Times New Roman"/>
          <w:color w:val="000000"/>
          <w:sz w:val="24"/>
          <w:szCs w:val="24"/>
        </w:rPr>
        <w:t xml:space="preserve"> или юридически лица, чрез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приемане на по-ефективни и икономически изгодни инвестиции в общи съоръжения, оборудване, инфраструктура и др.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18.</w:t>
      </w:r>
      <w:r w:rsidRPr="00851F2F">
        <w:rPr>
          <w:rStyle w:val="ldef2"/>
          <w:rFonts w:ascii="Times New Roman" w:hAnsi="Times New Roman"/>
          <w:sz w:val="24"/>
          <w:szCs w:val="24"/>
        </w:rPr>
        <w:t>„Маркетинг на продукт"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притежаване или излагане с цел продажба, предлагане за продан, доставяне или изнасяне на пазара по какъвто и да било начин на даден продукт; маркетинг на продукт включва и дейностите по неговото съхранение, сортиране, маркиране, опаковане и транспортиране.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19.</w:t>
      </w:r>
      <w:r w:rsidRPr="00851F2F">
        <w:rPr>
          <w:rStyle w:val="ldef2"/>
          <w:rFonts w:ascii="Times New Roman" w:hAnsi="Times New Roman"/>
          <w:sz w:val="24"/>
          <w:szCs w:val="24"/>
        </w:rPr>
        <w:t>„Материални активи"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активи, отнасящи се до земя, сгради, машини и съоръжения.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20.</w:t>
      </w:r>
      <w:r w:rsidRPr="00851F2F">
        <w:rPr>
          <w:rStyle w:val="ldef2"/>
          <w:rFonts w:ascii="Times New Roman" w:hAnsi="Times New Roman"/>
          <w:sz w:val="24"/>
          <w:szCs w:val="24"/>
        </w:rPr>
        <w:t>„Междинно плащане"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плащане за обособена част от одобрената и извършена инвестиция.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21.</w:t>
      </w:r>
      <w:r w:rsidRPr="00851F2F">
        <w:rPr>
          <w:rStyle w:val="ldef2"/>
          <w:rFonts w:ascii="Times New Roman" w:hAnsi="Times New Roman"/>
          <w:sz w:val="24"/>
          <w:szCs w:val="24"/>
        </w:rPr>
        <w:t>„Международно признат стандарт"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стандарт, който е приет от международна организация по стандартизация или международна организация с дейност по стандартизация и е общодостъпен.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22.</w:t>
      </w:r>
      <w:r w:rsidRPr="00851F2F">
        <w:rPr>
          <w:rStyle w:val="ldef2"/>
          <w:rFonts w:ascii="Times New Roman" w:hAnsi="Times New Roman"/>
          <w:sz w:val="24"/>
          <w:szCs w:val="24"/>
        </w:rPr>
        <w:t>„Места по националната екологична мрежа Натура 2000"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защитените зони по смисъла на чл. 6, ал. 1 от Закона за биологичното разнообразие.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23.</w:t>
      </w:r>
      <w:r w:rsidRPr="00851F2F">
        <w:rPr>
          <w:rStyle w:val="ldef2"/>
          <w:rFonts w:ascii="Times New Roman" w:hAnsi="Times New Roman"/>
          <w:sz w:val="24"/>
          <w:szCs w:val="24"/>
        </w:rPr>
        <w:t>„Микропредприятия, малки предприятия, средни предприятия"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предприятия по смисъла на Закона за малките и средните предприятия. </w:t>
      </w:r>
    </w:p>
    <w:p w:rsidR="00AF5071" w:rsidRPr="00C74098" w:rsidRDefault="00851F2F" w:rsidP="00AF5071">
      <w:pPr>
        <w:ind w:firstLine="480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24.</w:t>
      </w:r>
      <w:r w:rsidRPr="00851F2F">
        <w:rPr>
          <w:rStyle w:val="ldef2"/>
          <w:rFonts w:ascii="Times New Roman" w:hAnsi="Times New Roman"/>
          <w:sz w:val="24"/>
          <w:szCs w:val="24"/>
        </w:rPr>
        <w:t>„Млади земеделски стопани"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лица, които към момента на подаване на заявлението за подпомагане са на възраст между </w:t>
      </w:r>
      <w:r w:rsidRPr="00AF5071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C74098" w:rsidRPr="00AF507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74098" w:rsidRPr="00AF5071">
        <w:rPr>
          <w:rFonts w:ascii="Times New Roman" w:hAnsi="Times New Roman" w:cs="Times New Roman"/>
          <w:color w:val="000000"/>
          <w:sz w:val="24"/>
          <w:szCs w:val="24"/>
        </w:rPr>
        <w:t>навършени</w:t>
      </w:r>
      <w:r w:rsidR="00C740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и 40 </w:t>
      </w:r>
      <w:r w:rsidR="00100DC0">
        <w:rPr>
          <w:rFonts w:ascii="Times New Roman" w:hAnsi="Times New Roman" w:cs="Times New Roman"/>
          <w:color w:val="000000"/>
          <w:sz w:val="24"/>
          <w:szCs w:val="24"/>
        </w:rPr>
        <w:t xml:space="preserve">ненавършени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>години</w:t>
      </w:r>
      <w:r w:rsidR="00C740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25.</w:t>
      </w:r>
      <w:r w:rsidRPr="00851F2F">
        <w:rPr>
          <w:rStyle w:val="ldef2"/>
          <w:rFonts w:ascii="Times New Roman" w:hAnsi="Times New Roman"/>
          <w:sz w:val="24"/>
          <w:szCs w:val="24"/>
        </w:rPr>
        <w:t>„Независими оферти"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оферти, подадени от лица, които не се намират в следната свързаност помежду си или спрямо кандидата: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а)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едното участва в управлението на дружеството на другото;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б)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съдружници;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в)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съвместно контролират пряко трето лице;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г)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участват пряко в управлението или капитала на друго лице, поради което между тях могат да се уговарят условия, различни от обичайните;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д)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едното лице притежава повече от половината от броя на гласовете в общото събрание на другото лице;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е)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лицата, чиято дейност се контролира пряко или косвено от трето лице - физическо или юридическо;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lastRenderedPageBreak/>
        <w:t>ж)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лицата, едното от които е търговски представител на другото.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29.</w:t>
      </w:r>
      <w:r w:rsidRPr="00851F2F">
        <w:rPr>
          <w:rStyle w:val="ldef2"/>
          <w:rFonts w:ascii="Times New Roman" w:hAnsi="Times New Roman"/>
          <w:sz w:val="24"/>
          <w:szCs w:val="24"/>
        </w:rPr>
        <w:t>„Нередност"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всяко нарушение на правото на ЕС или на българското законодателство,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31.</w:t>
      </w:r>
      <w:r w:rsidRPr="00851F2F">
        <w:rPr>
          <w:rStyle w:val="ldef2"/>
          <w:rFonts w:ascii="Times New Roman" w:hAnsi="Times New Roman"/>
          <w:sz w:val="24"/>
          <w:szCs w:val="24"/>
        </w:rPr>
        <w:t>„Оперативни разходи"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административните разходи и разходите, свързани с поддръжка и експлоатация на активите.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</w:t>
      </w:r>
      <w:r w:rsidR="008E070D">
        <w:rPr>
          <w:rStyle w:val="alcapt2"/>
          <w:rFonts w:ascii="Times New Roman" w:hAnsi="Times New Roman"/>
          <w:color w:val="000000"/>
          <w:sz w:val="24"/>
          <w:szCs w:val="24"/>
        </w:rPr>
        <w:t>2</w:t>
      </w: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.</w:t>
      </w:r>
      <w:r w:rsidRPr="00851F2F">
        <w:rPr>
          <w:rStyle w:val="ldef2"/>
          <w:rFonts w:ascii="Times New Roman" w:hAnsi="Times New Roman"/>
          <w:sz w:val="24"/>
          <w:szCs w:val="24"/>
        </w:rPr>
        <w:t>„Обособена част от инвестицията"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завършен етап на изпълнение на инвестицията, който е обособен и е доведен до самостоятелна степен на завършеност.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</w:t>
      </w:r>
      <w:r w:rsidR="008E070D">
        <w:rPr>
          <w:rStyle w:val="alcapt2"/>
          <w:rFonts w:ascii="Times New Roman" w:hAnsi="Times New Roman"/>
          <w:color w:val="000000"/>
          <w:sz w:val="24"/>
          <w:szCs w:val="24"/>
        </w:rPr>
        <w:t>3</w:t>
      </w: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.</w:t>
      </w:r>
      <w:r w:rsidRPr="00851F2F">
        <w:rPr>
          <w:rStyle w:val="ldef2"/>
          <w:rFonts w:ascii="Times New Roman" w:hAnsi="Times New Roman"/>
          <w:sz w:val="24"/>
          <w:szCs w:val="24"/>
        </w:rPr>
        <w:t>„Пазар на производител"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място по смисъла на Закона за стоковите борси и тържищата.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36.</w:t>
      </w:r>
      <w:r w:rsidRPr="00851F2F">
        <w:rPr>
          <w:rFonts w:ascii="Times New Roman" w:hAnsi="Times New Roman" w:cs="Times New Roman"/>
          <w:color w:val="FF0000"/>
          <w:sz w:val="24"/>
          <w:szCs w:val="24"/>
        </w:rPr>
        <w:t>Подготовката на продукцията за продажба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включва една или комбинация от дейности, свързани с почистването, подготовката за съхранение, съхранението, сортирането, маркирането, опаковането и транспортирането на земеделски продукти.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38.</w:t>
      </w:r>
      <w:r w:rsidRPr="00851F2F">
        <w:rPr>
          <w:rStyle w:val="ldef2"/>
          <w:rFonts w:ascii="Times New Roman" w:hAnsi="Times New Roman"/>
          <w:sz w:val="24"/>
          <w:szCs w:val="24"/>
        </w:rPr>
        <w:t>„Преработка на селскостопански продукти"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всяко обработване и технологично въздействие на селскостопански продукт, в резултат на което се получава продукт, който също е селскостопански продукт, с изключение на дейностите, извършвани в стопанството, необходими за приготвяне на животински или растителен продукт за първа продажба.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45.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(Изм. - ДВ, бр. 69 от 2016 г., в сила от 02.09.2016 г.) </w:t>
      </w:r>
      <w:r w:rsidRPr="00851F2F">
        <w:rPr>
          <w:rStyle w:val="ldef2"/>
          <w:rFonts w:ascii="Times New Roman" w:hAnsi="Times New Roman"/>
          <w:sz w:val="24"/>
          <w:szCs w:val="24"/>
        </w:rPr>
        <w:t>„Първично селскостопанско производство"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производство на растителните и животинските продукти, изброени в Приложение № I по чл. 38 от Договора за функционирането на Европейския съюз, без да се извършват никакви по-нататъшни операции, с които се променя естеството на тези продукти.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46.</w:t>
      </w:r>
      <w:r w:rsidRPr="00851F2F">
        <w:rPr>
          <w:rStyle w:val="ldef2"/>
          <w:rFonts w:ascii="Times New Roman" w:hAnsi="Times New Roman"/>
          <w:sz w:val="24"/>
          <w:szCs w:val="24"/>
        </w:rPr>
        <w:t>„Разходи за консултантски услуги, свързани с подготовка и управление на проекта"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разходи, извършени преди подаване на заявлението за подпомагане и такива по време на изпълнение на проекта, които задължително включват подготовка на заявление за подпомагане, изработка на бизнес план, анализ за икономическа устойчивост на проекта и подготовка на заявки за плащане, включително отчитане и управление на проекта.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48.</w:t>
      </w:r>
      <w:r w:rsidRPr="00851F2F">
        <w:rPr>
          <w:rStyle w:val="ldef2"/>
          <w:rFonts w:ascii="Times New Roman" w:hAnsi="Times New Roman"/>
          <w:sz w:val="24"/>
          <w:szCs w:val="24"/>
        </w:rPr>
        <w:t>„Разходи за инвестиции за обикновена подмяна"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разходи за замяна на активи, които не водят до подобряване на цялостната дейност на кандидата.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49.</w:t>
      </w:r>
      <w:r w:rsidRPr="00851F2F">
        <w:rPr>
          <w:rStyle w:val="ldef2"/>
          <w:rFonts w:ascii="Times New Roman" w:hAnsi="Times New Roman"/>
          <w:sz w:val="24"/>
          <w:szCs w:val="24"/>
        </w:rPr>
        <w:t>„Рефинансиране на лихви"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възстановяване на извършените разходи за лихви по заеми.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lastRenderedPageBreak/>
        <w:t>50.</w:t>
      </w:r>
      <w:r w:rsidRPr="00851F2F">
        <w:rPr>
          <w:rStyle w:val="ldef2"/>
          <w:rFonts w:ascii="Times New Roman" w:hAnsi="Times New Roman"/>
          <w:sz w:val="24"/>
          <w:szCs w:val="24"/>
        </w:rPr>
        <w:t>„Референтни разходи"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цени и пределни стойности, ползвани от РА за сравняване при определяне основателността на разходите за различни инвестиции.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53.</w:t>
      </w:r>
      <w:r w:rsidRPr="00851F2F">
        <w:rPr>
          <w:rStyle w:val="ldef2"/>
          <w:rFonts w:ascii="Times New Roman" w:hAnsi="Times New Roman"/>
          <w:sz w:val="24"/>
          <w:szCs w:val="24"/>
        </w:rPr>
        <w:t>„Стандартен производствен обем"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стойността на продукцията, която отговаря на средната стойност за даден район за всеки един земеделски продукт, изчислена в евро по таблица съгласно приложение № 15.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55.</w:t>
      </w:r>
      <w:r w:rsidRPr="00851F2F">
        <w:rPr>
          <w:rStyle w:val="ldef2"/>
          <w:rFonts w:ascii="Times New Roman" w:hAnsi="Times New Roman"/>
          <w:sz w:val="24"/>
          <w:szCs w:val="24"/>
        </w:rPr>
        <w:t>„Съпоставими оферти"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оферти, които отговарят на запитването за оферта на кандидата и съдържат: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а)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еднотипни основни технически характеристики - в случаите, когато се кандидатства за разходи за закупуване на машини и земеделска техника;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б)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общ капацитет на оборудването - в случаите, когато се кандидатства за разходи за закупуване на оборудване или производствени линии, съставени от различни машини, съоръжения и оборудване;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в)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количествено-стойностни сметки - в случаите, когато се кандидатства за разходи за извършване на строително-монтажни работи.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56.</w:t>
      </w:r>
      <w:r w:rsidRPr="00851F2F">
        <w:rPr>
          <w:rStyle w:val="ldef2"/>
          <w:rFonts w:ascii="Times New Roman" w:hAnsi="Times New Roman"/>
          <w:sz w:val="24"/>
          <w:szCs w:val="24"/>
        </w:rPr>
        <w:t>„Създаване на работни места"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нетното увеличение на броя на служителите в съответното предприятие в сравнение със средния им брой през предходните 12 месеца, след като от номиналния брой създадени работни места бъдат приспаднати изгубените през този период работни места.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58.</w:t>
      </w:r>
      <w:r w:rsidRPr="00851F2F">
        <w:rPr>
          <w:rStyle w:val="ldef2"/>
          <w:rFonts w:ascii="Times New Roman" w:hAnsi="Times New Roman"/>
          <w:sz w:val="24"/>
          <w:szCs w:val="24"/>
        </w:rPr>
        <w:t xml:space="preserve">„Уникален </w:t>
      </w:r>
      <w:r w:rsidR="00712AB6">
        <w:rPr>
          <w:rStyle w:val="ldef2"/>
          <w:rFonts w:ascii="Times New Roman" w:hAnsi="Times New Roman"/>
          <w:sz w:val="24"/>
          <w:szCs w:val="24"/>
        </w:rPr>
        <w:t>регистр</w:t>
      </w:r>
      <w:r w:rsidRPr="00851F2F">
        <w:rPr>
          <w:rStyle w:val="ldef2"/>
          <w:rFonts w:ascii="Times New Roman" w:hAnsi="Times New Roman"/>
          <w:sz w:val="24"/>
          <w:szCs w:val="24"/>
        </w:rPr>
        <w:t>ационен номер"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регистрационен номер, който се издава на кандидата от служител в РА след положително становище от извършен преглед на документите към заявлението за подпомагане. </w:t>
      </w:r>
    </w:p>
    <w:p w:rsidR="00D13D48" w:rsidRPr="00851F2F" w:rsidRDefault="00D13D48" w:rsidP="00851F2F">
      <w:pPr>
        <w:rPr>
          <w:rFonts w:ascii="Times New Roman" w:hAnsi="Times New Roman" w:cs="Times New Roman"/>
          <w:sz w:val="24"/>
          <w:szCs w:val="24"/>
        </w:rPr>
      </w:pPr>
    </w:p>
    <w:sectPr w:rsidR="00D13D48" w:rsidRPr="00851F2F" w:rsidSect="00851F2F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65" w:rsidRDefault="00605965" w:rsidP="00130D63">
      <w:pPr>
        <w:spacing w:after="0" w:line="240" w:lineRule="auto"/>
      </w:pPr>
      <w:r>
        <w:separator/>
      </w:r>
    </w:p>
  </w:endnote>
  <w:endnote w:type="continuationSeparator" w:id="0">
    <w:p w:rsidR="00605965" w:rsidRDefault="00605965" w:rsidP="0013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65" w:rsidRDefault="00605965" w:rsidP="00130D63">
      <w:pPr>
        <w:spacing w:after="0" w:line="240" w:lineRule="auto"/>
      </w:pPr>
      <w:r>
        <w:separator/>
      </w:r>
    </w:p>
  </w:footnote>
  <w:footnote w:type="continuationSeparator" w:id="0">
    <w:p w:rsidR="00605965" w:rsidRDefault="00605965" w:rsidP="0013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D63" w:rsidRDefault="00130D63" w:rsidP="00130D63">
    <w:pPr>
      <w:tabs>
        <w:tab w:val="center" w:pos="5174"/>
      </w:tabs>
      <w:ind w:right="142"/>
      <w:rPr>
        <w:rFonts w:ascii="Calibri" w:eastAsia="Calibri" w:hAnsi="Calibri" w:cs="Times New Roman"/>
        <w:noProof/>
        <w:lang w:eastAsia="bg-BG"/>
      </w:rPr>
    </w:pPr>
    <w:r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bg-BG"/>
      </w:rPr>
      <w:t xml:space="preserve"> </w:t>
    </w:r>
    <w:r>
      <w:rPr>
        <w:noProof/>
        <w:lang w:eastAsia="bg-BG"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val="en-US" w:eastAsia="bg-BG"/>
      </w:rPr>
      <w:t xml:space="preserve">            </w:t>
    </w:r>
    <w:r>
      <w:rPr>
        <w:rFonts w:ascii="Calibri" w:eastAsia="Calibri" w:hAnsi="Calibri" w:cs="Times New Roman"/>
        <w:noProof/>
        <w:lang w:eastAsia="bg-BG"/>
      </w:rPr>
      <w:t xml:space="preserve">   </w:t>
    </w:r>
    <w:r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bg-BG"/>
      </w:rPr>
      <w:t xml:space="preserve">                   </w:t>
    </w:r>
    <w:r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0D63" w:rsidRDefault="00130D63" w:rsidP="00130D63">
    <w:pPr>
      <w:spacing w:after="0" w:line="240" w:lineRule="auto"/>
      <w:jc w:val="center"/>
      <w:rPr>
        <w:rFonts w:ascii="Times New Roman" w:eastAsia="Calibri" w:hAnsi="Times New Roman" w:cs="Times New Roman"/>
        <w:b/>
        <w:lang w:eastAsia="bg-BG"/>
      </w:rPr>
    </w:pPr>
    <w:r>
      <w:rPr>
        <w:rFonts w:ascii="Times New Roman" w:eastAsia="Calibri" w:hAnsi="Times New Roman" w:cs="Times New Roman"/>
        <w:b/>
        <w:lang w:eastAsia="bg-BG"/>
      </w:rPr>
      <w:t>Програма за развитие на селските райони за периода 2014-2020 година</w:t>
    </w:r>
  </w:p>
  <w:p w:rsidR="00130D63" w:rsidRDefault="00130D63" w:rsidP="00130D63">
    <w:pPr>
      <w:spacing w:after="0" w:line="240" w:lineRule="auto"/>
      <w:jc w:val="center"/>
      <w:rPr>
        <w:rFonts w:ascii="Times New Roman" w:eastAsia="Calibri" w:hAnsi="Times New Roman" w:cs="Times New Roman"/>
        <w:b/>
        <w:lang w:val="en-US" w:eastAsia="bg-BG"/>
      </w:rPr>
    </w:pPr>
    <w:r>
      <w:rPr>
        <w:rFonts w:ascii="Times New Roman" w:eastAsia="Calibri" w:hAnsi="Times New Roman" w:cs="Times New Roman"/>
        <w:b/>
        <w:lang w:eastAsia="bg-BG"/>
      </w:rPr>
      <w:t>Европейски земеделски фонд за развитие на селските райони</w:t>
    </w:r>
  </w:p>
  <w:p w:rsidR="00130D63" w:rsidRDefault="00130D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F2F"/>
    <w:rsid w:val="00024EFA"/>
    <w:rsid w:val="00037AF5"/>
    <w:rsid w:val="00080BE8"/>
    <w:rsid w:val="00100DC0"/>
    <w:rsid w:val="00130D63"/>
    <w:rsid w:val="001974FD"/>
    <w:rsid w:val="001D5901"/>
    <w:rsid w:val="001E4FDD"/>
    <w:rsid w:val="002602D1"/>
    <w:rsid w:val="002844CE"/>
    <w:rsid w:val="002B5287"/>
    <w:rsid w:val="003045C5"/>
    <w:rsid w:val="00402509"/>
    <w:rsid w:val="00432D7D"/>
    <w:rsid w:val="004A51A7"/>
    <w:rsid w:val="004B1F88"/>
    <w:rsid w:val="004D7ED3"/>
    <w:rsid w:val="00510D43"/>
    <w:rsid w:val="005F1A51"/>
    <w:rsid w:val="00605965"/>
    <w:rsid w:val="00636203"/>
    <w:rsid w:val="00712AB6"/>
    <w:rsid w:val="0076171E"/>
    <w:rsid w:val="007F075E"/>
    <w:rsid w:val="00851F2F"/>
    <w:rsid w:val="00861E8E"/>
    <w:rsid w:val="008E070D"/>
    <w:rsid w:val="00923501"/>
    <w:rsid w:val="00975288"/>
    <w:rsid w:val="00AB2DE5"/>
    <w:rsid w:val="00AF5071"/>
    <w:rsid w:val="00B20CB7"/>
    <w:rsid w:val="00B45181"/>
    <w:rsid w:val="00B72A6F"/>
    <w:rsid w:val="00C62626"/>
    <w:rsid w:val="00C74098"/>
    <w:rsid w:val="00C9597E"/>
    <w:rsid w:val="00D13D48"/>
    <w:rsid w:val="00D264A0"/>
    <w:rsid w:val="00D7332C"/>
    <w:rsid w:val="00E21CF8"/>
    <w:rsid w:val="00E70D44"/>
    <w:rsid w:val="00F53BCC"/>
    <w:rsid w:val="00F62F01"/>
    <w:rsid w:val="00F97204"/>
    <w:rsid w:val="00F97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C55B0-748C-44DD-8D81-FBE210BC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capt2">
    <w:name w:val="al_capt2"/>
    <w:rsid w:val="00851F2F"/>
    <w:rPr>
      <w:rFonts w:cs="Times New Roman"/>
      <w:i/>
      <w:iCs/>
    </w:rPr>
  </w:style>
  <w:style w:type="character" w:customStyle="1" w:styleId="ldef2">
    <w:name w:val="ldef2"/>
    <w:rsid w:val="00851F2F"/>
    <w:rPr>
      <w:rFonts w:cs="Times New Roman"/>
      <w:color w:val="FF0000"/>
    </w:rPr>
  </w:style>
  <w:style w:type="paragraph" w:styleId="a3">
    <w:name w:val="Balloon Text"/>
    <w:basedOn w:val="a"/>
    <w:link w:val="a4"/>
    <w:uiPriority w:val="99"/>
    <w:semiHidden/>
    <w:unhideWhenUsed/>
    <w:rsid w:val="004A5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A51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30D63"/>
  </w:style>
  <w:style w:type="paragraph" w:styleId="a7">
    <w:name w:val="footer"/>
    <w:basedOn w:val="a"/>
    <w:link w:val="a8"/>
    <w:uiPriority w:val="99"/>
    <w:unhideWhenUsed/>
    <w:rsid w:val="0013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30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3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4819-B205-4EAB-BA35-1885C728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2019-08-19T11:44:00Z</dcterms:created>
  <dcterms:modified xsi:type="dcterms:W3CDTF">2023-08-08T08:06:00Z</dcterms:modified>
</cp:coreProperties>
</file>