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7B1" w:rsidRDefault="008517B1">
      <w:pPr>
        <w:spacing w:before="64" w:line="276" w:lineRule="auto"/>
        <w:ind w:left="387" w:right="506"/>
        <w:jc w:val="center"/>
        <w:rPr>
          <w:b/>
          <w:sz w:val="32"/>
          <w:lang w:val="bg-BG"/>
        </w:rPr>
      </w:pPr>
      <w:r>
        <w:rPr>
          <w:b/>
          <w:sz w:val="32"/>
          <w:lang w:val="bg-BG"/>
        </w:rPr>
        <w:t xml:space="preserve">              </w:t>
      </w:r>
    </w:p>
    <w:p w:rsidR="008517B1" w:rsidRPr="006E21A4" w:rsidRDefault="008517B1" w:rsidP="006E21A4">
      <w:pPr>
        <w:spacing w:before="64" w:line="276" w:lineRule="auto"/>
        <w:ind w:left="6867" w:right="506" w:firstLine="333"/>
        <w:jc w:val="center"/>
        <w:rPr>
          <w:b/>
          <w:sz w:val="24"/>
          <w:szCs w:val="24"/>
          <w:lang w:val="bg-BG"/>
        </w:rPr>
      </w:pPr>
      <w:r w:rsidRPr="006E21A4">
        <w:rPr>
          <w:b/>
          <w:sz w:val="24"/>
          <w:szCs w:val="24"/>
          <w:lang w:val="bg-BG"/>
        </w:rPr>
        <w:t>Приложение№</w:t>
      </w:r>
      <w:r>
        <w:rPr>
          <w:b/>
          <w:sz w:val="24"/>
          <w:szCs w:val="24"/>
          <w:lang w:val="bg-BG"/>
        </w:rPr>
        <w:t>18</w:t>
      </w:r>
    </w:p>
    <w:p w:rsidR="008517B1" w:rsidRPr="00977A76" w:rsidRDefault="008517B1">
      <w:pPr>
        <w:spacing w:before="64" w:line="276" w:lineRule="auto"/>
        <w:ind w:left="387" w:right="506"/>
        <w:jc w:val="center"/>
        <w:rPr>
          <w:b/>
          <w:sz w:val="32"/>
          <w:lang w:val="ru-RU"/>
        </w:rPr>
      </w:pPr>
      <w:r w:rsidRPr="00977A76">
        <w:rPr>
          <w:b/>
          <w:sz w:val="32"/>
          <w:lang w:val="ru-RU"/>
        </w:rPr>
        <w:t>Насоки за изготвяне на финансов анализ по подмярка 7.2 от ПРСР 2014-2020 г.</w:t>
      </w:r>
    </w:p>
    <w:p w:rsidR="008517B1" w:rsidRPr="00977A76" w:rsidRDefault="008517B1">
      <w:pPr>
        <w:pStyle w:val="a5"/>
        <w:spacing w:before="6"/>
        <w:ind w:left="0"/>
        <w:rPr>
          <w:b/>
          <w:sz w:val="48"/>
          <w:lang w:val="ru-RU"/>
        </w:rPr>
      </w:pPr>
    </w:p>
    <w:p w:rsidR="008517B1" w:rsidRPr="00977A76" w:rsidRDefault="008517B1">
      <w:pPr>
        <w:pStyle w:val="Heading11"/>
        <w:numPr>
          <w:ilvl w:val="0"/>
          <w:numId w:val="7"/>
        </w:numPr>
        <w:tabs>
          <w:tab w:val="left" w:pos="479"/>
        </w:tabs>
        <w:spacing w:before="0" w:line="278" w:lineRule="auto"/>
        <w:ind w:right="360" w:firstLine="0"/>
        <w:rPr>
          <w:lang w:val="ru-RU"/>
        </w:rPr>
      </w:pPr>
      <w:r w:rsidRPr="00977A76">
        <w:rPr>
          <w:lang w:val="ru-RU"/>
        </w:rPr>
        <w:t>Проекти, за които е необходимо изготвянето и представянето на финансов анализ:</w:t>
      </w:r>
    </w:p>
    <w:p w:rsidR="008517B1" w:rsidRPr="00977A76" w:rsidRDefault="008517B1" w:rsidP="00FF783E">
      <w:pPr>
        <w:pStyle w:val="a5"/>
        <w:spacing w:before="113" w:line="276" w:lineRule="auto"/>
        <w:ind w:left="265" w:right="352" w:firstLine="719"/>
        <w:jc w:val="both"/>
        <w:rPr>
          <w:lang w:val="ru-RU"/>
        </w:rPr>
      </w:pPr>
      <w:r w:rsidRPr="00977A76">
        <w:rPr>
          <w:lang w:val="ru-RU"/>
        </w:rPr>
        <w:t xml:space="preserve">Финансов анализ се изготвя за всички проекти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които надвишават левовата равностойност на 50 000 евро, </w:t>
      </w:r>
      <w:r w:rsidRPr="00FF783E">
        <w:rPr>
          <w:lang w:val="ru-RU"/>
        </w:rPr>
        <w:t>с изключение на проектите за изграждане, реконструкция, ремонт, реставрация, закупуване на оборудване и/или обзавеждане на обекти,</w:t>
      </w:r>
      <w:r>
        <w:rPr>
          <w:lang w:val="ru-RU"/>
        </w:rPr>
        <w:t xml:space="preserve"> </w:t>
      </w:r>
      <w:r w:rsidRPr="00FF783E">
        <w:rPr>
          <w:lang w:val="ru-RU"/>
        </w:rPr>
        <w:t>свързани с културния живот, включително мобилни такива, включително и дейности по вертикалната</w:t>
      </w:r>
      <w:r>
        <w:rPr>
          <w:lang w:val="ru-RU"/>
        </w:rPr>
        <w:t xml:space="preserve"> </w:t>
      </w:r>
      <w:r w:rsidRPr="00FF783E">
        <w:rPr>
          <w:lang w:val="ru-RU"/>
        </w:rPr>
        <w:t>планировка и подобряване на прилежащите пространства;</w:t>
      </w:r>
    </w:p>
    <w:p w:rsidR="008517B1" w:rsidRPr="00977A76" w:rsidRDefault="008517B1">
      <w:pPr>
        <w:pStyle w:val="Heading11"/>
        <w:numPr>
          <w:ilvl w:val="0"/>
          <w:numId w:val="7"/>
        </w:numPr>
        <w:tabs>
          <w:tab w:val="left" w:pos="479"/>
        </w:tabs>
        <w:spacing w:before="125"/>
        <w:ind w:firstLine="0"/>
        <w:rPr>
          <w:lang w:val="ru-RU"/>
        </w:rPr>
      </w:pPr>
      <w:r w:rsidRPr="00977A76">
        <w:rPr>
          <w:lang w:val="ru-RU"/>
        </w:rPr>
        <w:t>Основни правила при изготвянето на финансовия</w:t>
      </w:r>
      <w:r w:rsidRPr="00977A76">
        <w:rPr>
          <w:spacing w:val="-2"/>
          <w:lang w:val="ru-RU"/>
        </w:rPr>
        <w:t xml:space="preserve"> </w:t>
      </w:r>
      <w:r w:rsidRPr="00977A76">
        <w:rPr>
          <w:lang w:val="ru-RU"/>
        </w:rPr>
        <w:t>анализ:</w:t>
      </w:r>
    </w:p>
    <w:p w:rsidR="008517B1" w:rsidRPr="00977A76" w:rsidRDefault="008517B1">
      <w:pPr>
        <w:pStyle w:val="a5"/>
        <w:spacing w:before="155" w:line="276" w:lineRule="auto"/>
        <w:ind w:right="354" w:firstLine="719"/>
        <w:jc w:val="both"/>
        <w:rPr>
          <w:lang w:val="ru-RU"/>
        </w:rPr>
      </w:pPr>
      <w:r w:rsidRPr="00977A76">
        <w:rPr>
          <w:lang w:val="ru-RU"/>
        </w:rPr>
        <w:t>Финансовият анализ се изготвя в съответствие с правилата, заложени в Делегиран регламент (ЕС) № 480/2014 на Комисията от 3 март 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rsidR="008517B1" w:rsidRPr="00977A76" w:rsidRDefault="00283A43">
      <w:pPr>
        <w:pStyle w:val="Heading11"/>
        <w:spacing w:before="125"/>
        <w:ind w:left="596"/>
        <w:rPr>
          <w:lang w:val="ru-RU"/>
        </w:rPr>
      </w:pPr>
      <w:hyperlink r:id="rId7">
        <w:r w:rsidR="008517B1">
          <w:rPr>
            <w:color w:val="0000FF"/>
            <w:u w:val="thick" w:color="0000FF"/>
          </w:rPr>
          <w:t>http</w:t>
        </w:r>
        <w:r w:rsidR="008517B1" w:rsidRPr="00977A76">
          <w:rPr>
            <w:color w:val="0000FF"/>
            <w:u w:val="thick" w:color="0000FF"/>
            <w:lang w:val="ru-RU"/>
          </w:rPr>
          <w:t>://</w:t>
        </w:r>
        <w:r w:rsidR="008517B1">
          <w:rPr>
            <w:color w:val="0000FF"/>
            <w:u w:val="thick" w:color="0000FF"/>
          </w:rPr>
          <w:t>ec</w:t>
        </w:r>
        <w:r w:rsidR="008517B1" w:rsidRPr="00977A76">
          <w:rPr>
            <w:color w:val="0000FF"/>
            <w:u w:val="thick" w:color="0000FF"/>
            <w:lang w:val="ru-RU"/>
          </w:rPr>
          <w:t>.</w:t>
        </w:r>
        <w:r w:rsidR="008517B1">
          <w:rPr>
            <w:color w:val="0000FF"/>
            <w:u w:val="thick" w:color="0000FF"/>
          </w:rPr>
          <w:t>europa</w:t>
        </w:r>
        <w:r w:rsidR="008517B1" w:rsidRPr="00977A76">
          <w:rPr>
            <w:color w:val="0000FF"/>
            <w:u w:val="thick" w:color="0000FF"/>
            <w:lang w:val="ru-RU"/>
          </w:rPr>
          <w:t>.</w:t>
        </w:r>
        <w:r w:rsidR="008517B1">
          <w:rPr>
            <w:color w:val="0000FF"/>
            <w:u w:val="thick" w:color="0000FF"/>
          </w:rPr>
          <w:t>eu</w:t>
        </w:r>
        <w:r w:rsidR="008517B1" w:rsidRPr="00977A76">
          <w:rPr>
            <w:color w:val="0000FF"/>
            <w:u w:val="thick" w:color="0000FF"/>
            <w:lang w:val="ru-RU"/>
          </w:rPr>
          <w:t>/</w:t>
        </w:r>
        <w:r w:rsidR="008517B1">
          <w:rPr>
            <w:color w:val="0000FF"/>
            <w:u w:val="thick" w:color="0000FF"/>
          </w:rPr>
          <w:t>regional</w:t>
        </w:r>
        <w:r w:rsidR="008517B1" w:rsidRPr="00977A76">
          <w:rPr>
            <w:color w:val="0000FF"/>
            <w:u w:val="thick" w:color="0000FF"/>
            <w:lang w:val="ru-RU"/>
          </w:rPr>
          <w:t>_</w:t>
        </w:r>
        <w:r w:rsidR="008517B1">
          <w:rPr>
            <w:color w:val="0000FF"/>
            <w:u w:val="thick" w:color="0000FF"/>
          </w:rPr>
          <w:t>policy</w:t>
        </w:r>
        <w:r w:rsidR="008517B1" w:rsidRPr="00977A76">
          <w:rPr>
            <w:color w:val="0000FF"/>
            <w:u w:val="thick" w:color="0000FF"/>
            <w:lang w:val="ru-RU"/>
          </w:rPr>
          <w:t>/</w:t>
        </w:r>
        <w:r w:rsidR="008517B1">
          <w:rPr>
            <w:color w:val="0000FF"/>
            <w:u w:val="thick" w:color="0000FF"/>
          </w:rPr>
          <w:t>sources</w:t>
        </w:r>
        <w:r w:rsidR="008517B1" w:rsidRPr="00977A76">
          <w:rPr>
            <w:color w:val="0000FF"/>
            <w:u w:val="thick" w:color="0000FF"/>
            <w:lang w:val="ru-RU"/>
          </w:rPr>
          <w:t>/</w:t>
        </w:r>
        <w:r w:rsidR="008517B1">
          <w:rPr>
            <w:color w:val="0000FF"/>
            <w:u w:val="thick" w:color="0000FF"/>
          </w:rPr>
          <w:t>docgener</w:t>
        </w:r>
        <w:r w:rsidR="008517B1" w:rsidRPr="00977A76">
          <w:rPr>
            <w:color w:val="0000FF"/>
            <w:u w:val="thick" w:color="0000FF"/>
            <w:lang w:val="ru-RU"/>
          </w:rPr>
          <w:t>/</w:t>
        </w:r>
        <w:r w:rsidR="008517B1">
          <w:rPr>
            <w:color w:val="0000FF"/>
            <w:u w:val="thick" w:color="0000FF"/>
          </w:rPr>
          <w:t>studies</w:t>
        </w:r>
        <w:r w:rsidR="008517B1" w:rsidRPr="00977A76">
          <w:rPr>
            <w:color w:val="0000FF"/>
            <w:u w:val="thick" w:color="0000FF"/>
            <w:lang w:val="ru-RU"/>
          </w:rPr>
          <w:t>/</w:t>
        </w:r>
        <w:r w:rsidR="008517B1">
          <w:rPr>
            <w:color w:val="0000FF"/>
            <w:u w:val="thick" w:color="0000FF"/>
          </w:rPr>
          <w:t>pdf</w:t>
        </w:r>
        <w:r w:rsidR="008517B1" w:rsidRPr="00977A76">
          <w:rPr>
            <w:color w:val="0000FF"/>
            <w:u w:val="thick" w:color="0000FF"/>
            <w:lang w:val="ru-RU"/>
          </w:rPr>
          <w:t>/</w:t>
        </w:r>
        <w:r w:rsidR="008517B1">
          <w:rPr>
            <w:color w:val="0000FF"/>
            <w:u w:val="thick" w:color="0000FF"/>
          </w:rPr>
          <w:t>cba</w:t>
        </w:r>
        <w:r w:rsidR="008517B1" w:rsidRPr="00977A76">
          <w:rPr>
            <w:color w:val="0000FF"/>
            <w:u w:val="thick" w:color="0000FF"/>
            <w:lang w:val="ru-RU"/>
          </w:rPr>
          <w:t>_</w:t>
        </w:r>
        <w:r w:rsidR="008517B1">
          <w:rPr>
            <w:color w:val="0000FF"/>
            <w:u w:val="thick" w:color="0000FF"/>
          </w:rPr>
          <w:t>guide</w:t>
        </w:r>
        <w:r w:rsidR="008517B1" w:rsidRPr="00977A76">
          <w:rPr>
            <w:color w:val="0000FF"/>
            <w:u w:val="thick" w:color="0000FF"/>
            <w:lang w:val="ru-RU"/>
          </w:rPr>
          <w:t>.</w:t>
        </w:r>
        <w:r w:rsidR="008517B1">
          <w:rPr>
            <w:color w:val="0000FF"/>
            <w:u w:val="thick" w:color="0000FF"/>
          </w:rPr>
          <w:t>pdf</w:t>
        </w:r>
      </w:hyperlink>
      <w:r w:rsidR="008517B1" w:rsidRPr="00977A76">
        <w:rPr>
          <w:lang w:val="ru-RU"/>
        </w:rPr>
        <w:t>.</w:t>
      </w:r>
    </w:p>
    <w:p w:rsidR="008517B1" w:rsidRPr="00977A76" w:rsidRDefault="008517B1">
      <w:pPr>
        <w:spacing w:before="155" w:line="276" w:lineRule="auto"/>
        <w:ind w:left="236" w:right="352" w:firstLine="719"/>
        <w:jc w:val="both"/>
        <w:rPr>
          <w:sz w:val="24"/>
          <w:lang w:val="ru-RU"/>
        </w:rPr>
      </w:pPr>
      <w:r w:rsidRPr="00977A76">
        <w:rPr>
          <w:sz w:val="24"/>
          <w:lang w:val="ru-RU"/>
        </w:rPr>
        <w:t xml:space="preserve">Финансовият анализ следва да се предостави във </w:t>
      </w:r>
      <w:r w:rsidRPr="00977A76">
        <w:rPr>
          <w:b/>
          <w:sz w:val="24"/>
          <w:lang w:val="ru-RU"/>
        </w:rPr>
        <w:t xml:space="preserve">формат </w:t>
      </w:r>
      <w:r>
        <w:rPr>
          <w:b/>
          <w:sz w:val="24"/>
        </w:rPr>
        <w:t>PDF</w:t>
      </w:r>
      <w:r w:rsidRPr="00977A76">
        <w:rPr>
          <w:b/>
          <w:sz w:val="24"/>
          <w:lang w:val="ru-RU"/>
        </w:rPr>
        <w:t xml:space="preserve"> и формат </w:t>
      </w:r>
      <w:r>
        <w:rPr>
          <w:b/>
          <w:sz w:val="24"/>
        </w:rPr>
        <w:t>Excel</w:t>
      </w:r>
      <w:r w:rsidRPr="00977A76">
        <w:rPr>
          <w:b/>
          <w:sz w:val="24"/>
          <w:lang w:val="ru-RU"/>
        </w:rPr>
        <w:t xml:space="preserve"> с отключени формули</w:t>
      </w:r>
      <w:r w:rsidRPr="00977A76">
        <w:rPr>
          <w:sz w:val="24"/>
          <w:lang w:val="ru-RU"/>
        </w:rPr>
        <w:t>, което да позволи неговото разглеждане и оценка, включително проверка на получените финансови резултати.</w:t>
      </w:r>
    </w:p>
    <w:p w:rsidR="008517B1" w:rsidRPr="00977A76" w:rsidRDefault="008517B1">
      <w:pPr>
        <w:spacing w:before="120" w:line="276" w:lineRule="auto"/>
        <w:ind w:left="236" w:right="353" w:firstLine="719"/>
        <w:jc w:val="both"/>
        <w:rPr>
          <w:sz w:val="24"/>
          <w:lang w:val="ru-RU"/>
        </w:rPr>
      </w:pPr>
      <w:r w:rsidRPr="00977A76">
        <w:rPr>
          <w:sz w:val="24"/>
          <w:lang w:val="ru-RU"/>
        </w:rPr>
        <w:t xml:space="preserve">Методологията, която се прилага при изготвянето на финансовия анализ е </w:t>
      </w:r>
      <w:r w:rsidRPr="00977A76">
        <w:rPr>
          <w:b/>
          <w:sz w:val="24"/>
          <w:lang w:val="ru-RU"/>
        </w:rPr>
        <w:t xml:space="preserve">Метода на Дисконтираните Парични Потоци </w:t>
      </w:r>
      <w:r w:rsidRPr="00977A76">
        <w:rPr>
          <w:sz w:val="24"/>
          <w:lang w:val="ru-RU"/>
        </w:rPr>
        <w:t>(Съгласно чл. 61 от Регламент 1303/2013 и чл. 15 от Делегиран Регламент 480/2014).</w:t>
      </w:r>
    </w:p>
    <w:p w:rsidR="008517B1" w:rsidRPr="00977A76" w:rsidRDefault="008517B1">
      <w:pPr>
        <w:pStyle w:val="a5"/>
        <w:spacing w:before="120" w:line="276" w:lineRule="auto"/>
        <w:ind w:right="354" w:firstLine="719"/>
        <w:jc w:val="both"/>
        <w:rPr>
          <w:lang w:val="ru-RU"/>
        </w:rPr>
      </w:pPr>
      <w:r w:rsidRPr="00977A76">
        <w:rPr>
          <w:lang w:val="ru-RU"/>
        </w:rPr>
        <w:t>Дисконтираните нетни приходи от всяка операция се изчисляват чрез приспадане на дисконтираните разходи от дисконтираните приходи и чрез прибавяне на остатъчната стойност на инвестицията в съответните случаи. Остатъчната стойност на инвестицията се включва в изчислението на дисконтираните нетни приходи от операцията само ако приходите превишават</w:t>
      </w:r>
      <w:r w:rsidRPr="00977A76">
        <w:rPr>
          <w:spacing w:val="1"/>
          <w:lang w:val="ru-RU"/>
        </w:rPr>
        <w:t xml:space="preserve"> </w:t>
      </w:r>
      <w:r w:rsidRPr="00977A76">
        <w:rPr>
          <w:lang w:val="ru-RU"/>
        </w:rPr>
        <w:t>разходите.</w:t>
      </w:r>
    </w:p>
    <w:p w:rsidR="008517B1" w:rsidRDefault="008517B1">
      <w:pPr>
        <w:pStyle w:val="a5"/>
        <w:spacing w:before="121" w:line="276" w:lineRule="auto"/>
        <w:ind w:right="354" w:firstLine="719"/>
        <w:jc w:val="both"/>
        <w:rPr>
          <w:lang w:val="ru-RU"/>
        </w:rPr>
      </w:pPr>
      <w:r w:rsidRPr="00977A76">
        <w:rPr>
          <w:lang w:val="ru-RU"/>
        </w:rPr>
        <w:t xml:space="preserve">Приходите и разходите се определят чрез прилагане на </w:t>
      </w:r>
      <w:r w:rsidRPr="00977A76">
        <w:rPr>
          <w:b/>
          <w:lang w:val="ru-RU"/>
        </w:rPr>
        <w:t>метода на пределните величини</w:t>
      </w:r>
      <w:r w:rsidRPr="00977A76">
        <w:rPr>
          <w:lang w:val="ru-RU"/>
        </w:rPr>
        <w:t>, основаващ се на съпоставяне на приходите и разходите при варианта за новата инвестиция с приходите и разходите при вариант без инвестиция. Когато дадена операция се състои от нов актив, приходите и разходите са тези на новата инвестиция.</w:t>
      </w:r>
    </w:p>
    <w:p w:rsidR="008517B1" w:rsidRPr="006E21A4" w:rsidRDefault="008517B1">
      <w:pPr>
        <w:pStyle w:val="a5"/>
        <w:spacing w:before="121" w:line="276" w:lineRule="auto"/>
        <w:ind w:right="353" w:firstLine="719"/>
        <w:jc w:val="both"/>
        <w:rPr>
          <w:lang w:val="ru-RU"/>
        </w:rPr>
      </w:pPr>
      <w:r w:rsidRPr="00977A76">
        <w:rPr>
          <w:lang w:val="ru-RU"/>
        </w:rPr>
        <w:t>При изчисляването на разходите и приходите се отчитат само предвижданите изходящи и входящи парични потоци по проекта. Това означава, че Непаричните счетоводни елементи като амортизация, резерви за бъдещи разходи за замяна и резерви за непредвидени разходи се изключват от изчислението на дисконтирания паричен поток.</w:t>
      </w:r>
    </w:p>
    <w:p w:rsidR="008517B1" w:rsidRPr="006E21A4" w:rsidRDefault="008517B1">
      <w:pPr>
        <w:pStyle w:val="a5"/>
        <w:spacing w:before="121" w:line="276" w:lineRule="auto"/>
        <w:ind w:right="353" w:firstLine="719"/>
        <w:jc w:val="both"/>
        <w:rPr>
          <w:lang w:val="ru-RU"/>
        </w:rPr>
      </w:pPr>
    </w:p>
    <w:p w:rsidR="008517B1" w:rsidRPr="00977A76" w:rsidRDefault="008517B1" w:rsidP="008312E0">
      <w:pPr>
        <w:pStyle w:val="a5"/>
        <w:spacing w:before="121" w:line="276" w:lineRule="auto"/>
        <w:ind w:firstLine="719"/>
        <w:jc w:val="both"/>
        <w:rPr>
          <w:lang w:val="ru-RU"/>
        </w:rPr>
      </w:pPr>
      <w:r w:rsidRPr="008312E0">
        <w:rPr>
          <w:lang w:val="ru-RU"/>
        </w:rPr>
        <w:lastRenderedPageBreak/>
        <w:br/>
        <w:t xml:space="preserve">          </w:t>
      </w:r>
      <w:r w:rsidRPr="00977A76">
        <w:rPr>
          <w:lang w:val="ru-RU"/>
        </w:rPr>
        <w:t>Паричните потоци трябва да се отчитат в годината, в която се реализират, и в рамките на даден референтен период (вж. карето по-долу). Когато действителният</w:t>
      </w:r>
    </w:p>
    <w:p w:rsidR="008517B1" w:rsidRPr="008312E0" w:rsidRDefault="00283A43" w:rsidP="008312E0">
      <w:pPr>
        <w:pStyle w:val="a5"/>
        <w:spacing w:before="79" w:line="276" w:lineRule="auto"/>
        <w:ind w:right="199"/>
        <w:jc w:val="both"/>
        <w:rPr>
          <w:lang w:val="ru-RU"/>
        </w:rPr>
      </w:pPr>
      <w:r>
        <w:rPr>
          <w:noProof/>
          <w:lang w:val="bg-BG" w:eastAsia="bg-BG"/>
        </w:rPr>
        <w:pict>
          <v:group id="_x0000_s1027" style="position:absolute;left:0;text-align:left;margin-left:64.95pt;margin-top:41.9pt;width:465.45pt;height:375.05pt;z-index:3;mso-wrap-distance-left:0;mso-wrap-distance-right:0;mso-position-horizontal-relative:page" coordorigin="1299,838" coordsize="9309,7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416;top:3526;width:9062;height:4743">
              <v:imagedata r:id="rId8" o:title=""/>
            </v:shape>
            <v:shapetype id="_x0000_t202" coordsize="21600,21600" o:spt="202" path="m,l,21600r21600,l21600,xe">
              <v:stroke joinstyle="miter"/>
              <v:path gradientshapeok="t" o:connecttype="rect"/>
            </v:shapetype>
            <v:shape id="_x0000_s1029" type="#_x0000_t202" style="position:absolute;left:1303;top:843;width:9300;height:7492" filled="f" strokeweight=".48pt">
              <v:textbox style="mso-next-textbox:#_x0000_s1029" inset="0,0,0,0">
                <w:txbxContent>
                  <w:p w:rsidR="008517B1" w:rsidRPr="00977A76" w:rsidRDefault="008517B1">
                    <w:pPr>
                      <w:spacing w:before="13" w:line="276" w:lineRule="auto"/>
                      <w:ind w:left="108" w:right="103"/>
                      <w:jc w:val="both"/>
                      <w:rPr>
                        <w:sz w:val="24"/>
                        <w:lang w:val="ru-RU"/>
                      </w:rPr>
                    </w:pPr>
                    <w:r w:rsidRPr="00977A76">
                      <w:rPr>
                        <w:b/>
                        <w:lang w:val="ru-RU"/>
                      </w:rPr>
                      <w:t xml:space="preserve">Референтният период </w:t>
                    </w:r>
                    <w:r w:rsidRPr="00977A76">
                      <w:rPr>
                        <w:sz w:val="24"/>
                        <w:lang w:val="ru-RU"/>
                      </w:rPr>
                      <w:t xml:space="preserve">е период в години, за който се отнасят прогнозите, включени в анализа на разходите и ползите. Прогнозите по проекта трябва да обхващат период, отговарящ на неговия икономически полезен живот и достатъчно дълъг, за да обхване и неговите вероятни дългосрочни въздействия. Жизненият цикъл на проекта варира в зависимост от характера на инвестицията. Референтният времеви хоризонт по сектори (основан на международната практика и препоръчан от Комисията в ПРИЛОЖЕНИЕ </w:t>
                    </w:r>
                    <w:r>
                      <w:rPr>
                        <w:sz w:val="24"/>
                      </w:rPr>
                      <w:t>I</w:t>
                    </w:r>
                    <w:r w:rsidRPr="00977A76">
                      <w:rPr>
                        <w:sz w:val="24"/>
                        <w:lang w:val="ru-RU"/>
                      </w:rPr>
                      <w:t xml:space="preserve"> Референтни периоди по член 15, параграф 2 от Делегиран регламент (ЕС) № 480/2014) е, както</w:t>
                    </w:r>
                    <w:r w:rsidRPr="00977A76">
                      <w:rPr>
                        <w:spacing w:val="-1"/>
                        <w:sz w:val="24"/>
                        <w:lang w:val="ru-RU"/>
                      </w:rPr>
                      <w:t xml:space="preserve"> </w:t>
                    </w:r>
                    <w:r w:rsidRPr="00977A76">
                      <w:rPr>
                        <w:sz w:val="24"/>
                        <w:lang w:val="ru-RU"/>
                      </w:rPr>
                      <w:t>следва:</w:t>
                    </w:r>
                  </w:p>
                </w:txbxContent>
              </v:textbox>
            </v:shape>
            <w10:wrap type="topAndBottom" anchorx="page"/>
          </v:group>
        </w:pict>
      </w:r>
      <w:r w:rsidR="008517B1" w:rsidRPr="00977A76">
        <w:rPr>
          <w:lang w:val="ru-RU"/>
        </w:rPr>
        <w:t>икономически полезен живот на проекта надхвърля използвания референтен период, трябва да се отчете също и остатъчната стойност.</w:t>
      </w:r>
    </w:p>
    <w:p w:rsidR="008517B1" w:rsidRPr="00977A76" w:rsidRDefault="008517B1">
      <w:pPr>
        <w:spacing w:before="85" w:line="276" w:lineRule="auto"/>
        <w:ind w:left="236" w:right="356" w:firstLine="719"/>
        <w:jc w:val="both"/>
        <w:rPr>
          <w:sz w:val="24"/>
          <w:lang w:val="ru-RU"/>
        </w:rPr>
      </w:pPr>
      <w:r w:rsidRPr="00977A76">
        <w:rPr>
          <w:sz w:val="24"/>
          <w:lang w:val="ru-RU"/>
        </w:rPr>
        <w:t xml:space="preserve">Паричните потоци се дисконтират към текущия настоящ момент, като се използва </w:t>
      </w:r>
      <w:r w:rsidRPr="00977A76">
        <w:rPr>
          <w:b/>
          <w:sz w:val="24"/>
          <w:lang w:val="ru-RU"/>
        </w:rPr>
        <w:t xml:space="preserve">финансова норма на дисконтиране от 4 % </w:t>
      </w:r>
      <w:r w:rsidRPr="00977A76">
        <w:rPr>
          <w:sz w:val="24"/>
          <w:lang w:val="ru-RU"/>
        </w:rPr>
        <w:t>в реално изражение.</w:t>
      </w:r>
    </w:p>
    <w:p w:rsidR="008517B1" w:rsidRPr="00977A76" w:rsidRDefault="008517B1" w:rsidP="003476F1">
      <w:pPr>
        <w:pStyle w:val="a5"/>
        <w:spacing w:before="121" w:line="276" w:lineRule="auto"/>
        <w:ind w:right="356" w:firstLine="719"/>
        <w:jc w:val="both"/>
        <w:rPr>
          <w:lang w:val="ru-RU"/>
        </w:rPr>
      </w:pPr>
      <w:r w:rsidRPr="00977A76">
        <w:rPr>
          <w:lang w:val="ru-RU"/>
        </w:rPr>
        <w:t xml:space="preserve">Финансовият анализ следва, когато е възможно и целесъобразно, да  се  извършва </w:t>
      </w:r>
      <w:r w:rsidRPr="00977A76">
        <w:rPr>
          <w:b/>
          <w:lang w:val="ru-RU"/>
        </w:rPr>
        <w:t xml:space="preserve">от гледна точка на собственика на проекта </w:t>
      </w:r>
      <w:r w:rsidRPr="00977A76">
        <w:rPr>
          <w:lang w:val="ru-RU"/>
        </w:rPr>
        <w:t xml:space="preserve">и/или на стопанския субект, </w:t>
      </w:r>
      <w:r w:rsidRPr="003476F1">
        <w:rPr>
          <w:lang w:val="ru-RU"/>
        </w:rPr>
        <w:br/>
      </w:r>
      <w:r w:rsidRPr="00977A76">
        <w:rPr>
          <w:lang w:val="ru-RU"/>
        </w:rPr>
        <w:t>като така е възможна проверката на паричните потоци и се гарантира положително касово салдо, с което се проверява финансовата устойчивост и се изчисляват индексите</w:t>
      </w:r>
      <w:r w:rsidRPr="003476F1">
        <w:rPr>
          <w:lang w:val="ru-RU"/>
        </w:rPr>
        <w:br/>
      </w:r>
      <w:r w:rsidRPr="00977A76">
        <w:rPr>
          <w:lang w:val="ru-RU"/>
        </w:rPr>
        <w:t>на финансова възвръщаемост на инвестиционния проект и на капитала въз основа на дисконтираните парични</w:t>
      </w:r>
      <w:r w:rsidRPr="00977A76">
        <w:rPr>
          <w:spacing w:val="-1"/>
          <w:lang w:val="ru-RU"/>
        </w:rPr>
        <w:t xml:space="preserve"> </w:t>
      </w:r>
      <w:r w:rsidRPr="00977A76">
        <w:rPr>
          <w:lang w:val="ru-RU"/>
        </w:rPr>
        <w:t>потоци.</w:t>
      </w:r>
    </w:p>
    <w:p w:rsidR="008517B1" w:rsidRPr="00977A76" w:rsidRDefault="008517B1">
      <w:pPr>
        <w:pStyle w:val="a5"/>
        <w:spacing w:before="121" w:line="276" w:lineRule="auto"/>
        <w:ind w:right="356" w:firstLine="719"/>
        <w:jc w:val="both"/>
        <w:rPr>
          <w:lang w:val="ru-RU"/>
        </w:rPr>
      </w:pPr>
      <w:r w:rsidRPr="00977A76">
        <w:rPr>
          <w:lang w:val="ru-RU"/>
        </w:rPr>
        <w:t xml:space="preserve">Ако собственикът и стопанският субект не са един и същ субект, следва да се изготви </w:t>
      </w:r>
      <w:r w:rsidRPr="00977A76">
        <w:rPr>
          <w:b/>
          <w:lang w:val="ru-RU"/>
        </w:rPr>
        <w:t>консолидиран финансов анализ</w:t>
      </w:r>
      <w:r w:rsidRPr="00977A76">
        <w:rPr>
          <w:lang w:val="ru-RU"/>
        </w:rPr>
        <w:t>, който изключва паричните потоци между собственика и стопанския субект.</w:t>
      </w:r>
    </w:p>
    <w:p w:rsidR="008517B1" w:rsidRPr="00977A76" w:rsidRDefault="008517B1" w:rsidP="00A968FA">
      <w:pPr>
        <w:pStyle w:val="a5"/>
        <w:spacing w:before="121" w:line="276" w:lineRule="auto"/>
        <w:ind w:right="356"/>
        <w:jc w:val="both"/>
        <w:rPr>
          <w:lang w:val="ru-RU"/>
        </w:rPr>
      </w:pPr>
      <w:r w:rsidRPr="00A968FA">
        <w:rPr>
          <w:lang w:val="ru-RU"/>
        </w:rPr>
        <w:t xml:space="preserve">           </w:t>
      </w:r>
      <w:r w:rsidRPr="00977A76">
        <w:rPr>
          <w:lang w:val="ru-RU"/>
        </w:rPr>
        <w:t xml:space="preserve">Финансовият анализ трябва да се извършва при използването на </w:t>
      </w:r>
      <w:r w:rsidRPr="00977A76">
        <w:rPr>
          <w:b/>
          <w:lang w:val="ru-RU"/>
        </w:rPr>
        <w:t xml:space="preserve">постоянни (реални) цени </w:t>
      </w:r>
      <w:r w:rsidRPr="00977A76">
        <w:rPr>
          <w:lang w:val="ru-RU"/>
        </w:rPr>
        <w:t>(цени, фиксирани към определена базова година).</w:t>
      </w:r>
    </w:p>
    <w:p w:rsidR="008517B1" w:rsidRPr="00977A76" w:rsidRDefault="008517B1">
      <w:pPr>
        <w:pStyle w:val="a5"/>
        <w:spacing w:before="123"/>
        <w:ind w:left="956"/>
        <w:rPr>
          <w:lang w:val="ru-RU"/>
        </w:rPr>
      </w:pPr>
      <w:r w:rsidRPr="00977A76">
        <w:rPr>
          <w:lang w:val="ru-RU"/>
        </w:rPr>
        <w:lastRenderedPageBreak/>
        <w:t>При анализа се изключва ДДС, когато подлежи на възстановяване.</w:t>
      </w:r>
    </w:p>
    <w:p w:rsidR="008517B1" w:rsidRPr="00977A76" w:rsidRDefault="008517B1">
      <w:pPr>
        <w:pStyle w:val="a5"/>
        <w:spacing w:before="79" w:line="276" w:lineRule="auto"/>
        <w:ind w:right="358" w:firstLine="719"/>
        <w:jc w:val="both"/>
        <w:rPr>
          <w:lang w:val="ru-RU"/>
        </w:rPr>
      </w:pPr>
      <w:r w:rsidRPr="00977A76">
        <w:rPr>
          <w:lang w:val="ru-RU"/>
        </w:rPr>
        <w:t>Преките данъци (върху капитала, доходите и т.н.) се вземат предвид само при изчисляването на Финансовата Устойчивост на проекта, но не и при изчисляването на финансовата рентабилност (тя се изчислява преди такива данъчни отчисления).</w:t>
      </w:r>
    </w:p>
    <w:p w:rsidR="008517B1" w:rsidRDefault="008517B1">
      <w:pPr>
        <w:pStyle w:val="Heading11"/>
        <w:numPr>
          <w:ilvl w:val="0"/>
          <w:numId w:val="7"/>
        </w:numPr>
        <w:tabs>
          <w:tab w:val="left" w:pos="479"/>
        </w:tabs>
        <w:spacing w:before="125"/>
        <w:ind w:firstLine="0"/>
      </w:pPr>
      <w:r>
        <w:t>Съдържание на Финансовия</w:t>
      </w:r>
      <w:r>
        <w:rPr>
          <w:spacing w:val="-3"/>
        </w:rPr>
        <w:t xml:space="preserve"> </w:t>
      </w:r>
      <w:r>
        <w:t>Анализ:</w:t>
      </w:r>
    </w:p>
    <w:p w:rsidR="008517B1" w:rsidRDefault="008517B1">
      <w:pPr>
        <w:pStyle w:val="a7"/>
        <w:numPr>
          <w:ilvl w:val="1"/>
          <w:numId w:val="7"/>
        </w:numPr>
        <w:tabs>
          <w:tab w:val="left" w:pos="722"/>
        </w:tabs>
        <w:ind w:firstLine="0"/>
        <w:rPr>
          <w:b/>
          <w:sz w:val="24"/>
        </w:rPr>
      </w:pPr>
      <w:r>
        <w:rPr>
          <w:b/>
          <w:sz w:val="24"/>
        </w:rPr>
        <w:t>Въведение.</w:t>
      </w:r>
    </w:p>
    <w:p w:rsidR="008517B1" w:rsidRPr="00977A76" w:rsidRDefault="008517B1">
      <w:pPr>
        <w:pStyle w:val="a5"/>
        <w:spacing w:before="158" w:line="276" w:lineRule="auto"/>
        <w:ind w:right="356" w:firstLine="719"/>
        <w:jc w:val="both"/>
        <w:rPr>
          <w:lang w:val="ru-RU"/>
        </w:rPr>
      </w:pPr>
      <w:r w:rsidRPr="00977A76">
        <w:rPr>
          <w:lang w:val="ru-RU"/>
        </w:rPr>
        <w:t>Моля, опишете накратко всички ключови предположения, свързани с оперативните разходи, разходите за подмяна на капитала, приходите и остатъчната стойност, използваните макроикономически параметри, стъпките при изчисленията, данните, използвани за извършване на анализ и основните констатации от финансовия анализ, включително резултатите от анализа на финансовата устойчивост, за да се докаже, че паричните средства по проекта няма да бъдат изчерпани в бъдеще.</w:t>
      </w:r>
    </w:p>
    <w:p w:rsidR="008517B1" w:rsidRPr="00977A76" w:rsidRDefault="008517B1">
      <w:pPr>
        <w:pStyle w:val="a5"/>
        <w:spacing w:before="121" w:line="276" w:lineRule="auto"/>
        <w:ind w:right="358" w:firstLine="719"/>
        <w:jc w:val="both"/>
        <w:rPr>
          <w:lang w:val="ru-RU"/>
        </w:rPr>
      </w:pPr>
      <w:r w:rsidRPr="00977A76">
        <w:rPr>
          <w:lang w:val="ru-RU"/>
        </w:rPr>
        <w:t>Моля, попълнете Таблици 1, 2 и 3 от приложението с обобщена информация от финансовия анализ.</w:t>
      </w:r>
    </w:p>
    <w:p w:rsidR="008517B1" w:rsidRPr="00977A76" w:rsidRDefault="008517B1">
      <w:pPr>
        <w:pStyle w:val="Heading11"/>
        <w:numPr>
          <w:ilvl w:val="1"/>
          <w:numId w:val="7"/>
        </w:numPr>
        <w:tabs>
          <w:tab w:val="left" w:pos="662"/>
        </w:tabs>
        <w:spacing w:before="128" w:line="276" w:lineRule="auto"/>
        <w:ind w:right="356" w:firstLine="0"/>
        <w:rPr>
          <w:lang w:val="ru-RU"/>
        </w:rPr>
      </w:pPr>
      <w:r w:rsidRPr="00977A76">
        <w:rPr>
          <w:lang w:val="ru-RU"/>
        </w:rPr>
        <w:t>Определяне на Инвестиционните Разходи (</w:t>
      </w:r>
      <w:r>
        <w:t>EC</w:t>
      </w:r>
      <w:r w:rsidRPr="00977A76">
        <w:rPr>
          <w:lang w:val="ru-RU"/>
        </w:rPr>
        <w:t>) и Допустимите Инвестиционни Разходи (ЕЕС).</w:t>
      </w:r>
    </w:p>
    <w:p w:rsidR="008517B1" w:rsidRPr="00977A76" w:rsidRDefault="00283A43">
      <w:pPr>
        <w:pStyle w:val="a5"/>
        <w:spacing w:before="116" w:line="276" w:lineRule="auto"/>
        <w:ind w:right="353" w:firstLine="719"/>
        <w:jc w:val="both"/>
        <w:rPr>
          <w:lang w:val="ru-RU"/>
        </w:rPr>
      </w:pPr>
      <w:r>
        <w:rPr>
          <w:noProof/>
          <w:lang w:val="bg-BG" w:eastAsia="bg-BG"/>
        </w:rPr>
        <w:pict>
          <v:shape id="_x0000_s1030" type="#_x0000_t202" style="position:absolute;left:0;text-align:left;margin-left:65.2pt;margin-top:91.65pt;width:465pt;height:34.35pt;z-index:4;mso-wrap-distance-left:0;mso-wrap-distance-right:0;mso-position-horizontal-relative:page" filled="f" strokeweight=".48pt">
            <v:textbox inset="0,0,0,0">
              <w:txbxContent>
                <w:p w:rsidR="008517B1" w:rsidRPr="00977A76" w:rsidRDefault="008517B1">
                  <w:pPr>
                    <w:pStyle w:val="a5"/>
                    <w:spacing w:before="13" w:line="278" w:lineRule="auto"/>
                    <w:ind w:left="108"/>
                    <w:rPr>
                      <w:lang w:val="ru-RU"/>
                    </w:rPr>
                  </w:pPr>
                  <w:r w:rsidRPr="00977A76">
                    <w:rPr>
                      <w:lang w:val="ru-RU"/>
                    </w:rPr>
                    <w:t xml:space="preserve">Допустимите за финансиране Разходи и Недопустимите за финансиране разходи по </w:t>
                  </w:r>
                  <w:r w:rsidRPr="00FF783E">
                    <w:rPr>
                      <w:lang w:val="ru-RU"/>
                    </w:rPr>
                    <w:t>подмярка 7.2 са описани в Насоките за кандидатстване.</w:t>
                  </w:r>
                </w:p>
              </w:txbxContent>
            </v:textbox>
            <w10:wrap type="topAndBottom" anchorx="page"/>
          </v:shape>
        </w:pict>
      </w:r>
      <w:r w:rsidR="008517B1" w:rsidRPr="00977A76">
        <w:rPr>
          <w:b/>
          <w:lang w:val="ru-RU"/>
        </w:rPr>
        <w:t xml:space="preserve">Инвестиционните Разходи </w:t>
      </w:r>
      <w:r w:rsidR="008517B1" w:rsidRPr="00977A76">
        <w:rPr>
          <w:lang w:val="ru-RU"/>
        </w:rPr>
        <w:t>включват капиталовите разходи за всички дълготрайни материални активи (напр. земя, сгради, машини и оборудване и др.) и инвестиции в нематериални активи (напр.разходите за изготвяне на проекта, техническа помощ и др. подобни). Където е уместно, промените в оборотния капитал следва също да бъдат</w:t>
      </w:r>
      <w:r w:rsidR="008517B1" w:rsidRPr="00977A76">
        <w:rPr>
          <w:spacing w:val="-1"/>
          <w:lang w:val="ru-RU"/>
        </w:rPr>
        <w:t xml:space="preserve"> </w:t>
      </w:r>
      <w:r w:rsidR="008517B1" w:rsidRPr="00977A76">
        <w:rPr>
          <w:lang w:val="ru-RU"/>
        </w:rPr>
        <w:t>включени.</w:t>
      </w:r>
    </w:p>
    <w:p w:rsidR="008517B1" w:rsidRPr="00977A76" w:rsidRDefault="008517B1">
      <w:pPr>
        <w:pStyle w:val="a5"/>
        <w:ind w:left="0"/>
        <w:rPr>
          <w:lang w:val="ru-RU"/>
        </w:rPr>
      </w:pPr>
    </w:p>
    <w:p w:rsidR="008517B1" w:rsidRDefault="00283A43" w:rsidP="005C3777">
      <w:pPr>
        <w:pStyle w:val="Heading11"/>
        <w:numPr>
          <w:ilvl w:val="1"/>
          <w:numId w:val="6"/>
        </w:numPr>
        <w:tabs>
          <w:tab w:val="left" w:pos="538"/>
        </w:tabs>
        <w:spacing w:before="90" w:line="276" w:lineRule="auto"/>
        <w:ind w:right="355" w:firstLine="0"/>
        <w:rPr>
          <w:lang w:val="ru-RU"/>
        </w:rPr>
      </w:pPr>
      <w:r>
        <w:rPr>
          <w:noProof/>
          <w:lang w:val="bg-BG" w:eastAsia="bg-BG"/>
        </w:rPr>
        <w:pict>
          <v:shape id="_x0000_s1031" type="#_x0000_t202" style="position:absolute;left:0;text-align:left;margin-left:65.2pt;margin-top:42.45pt;width:465pt;height:183.15pt;z-index:5;mso-wrap-distance-left:0;mso-wrap-distance-right:0;mso-position-horizontal-relative:page" filled="f" strokeweight=".48pt">
            <v:textbox inset="0,0,0,0">
              <w:txbxContent>
                <w:p w:rsidR="008517B1" w:rsidRPr="00977A76" w:rsidRDefault="008517B1">
                  <w:pPr>
                    <w:pStyle w:val="a5"/>
                    <w:spacing w:before="13" w:line="276" w:lineRule="auto"/>
                    <w:ind w:left="108" w:right="109"/>
                    <w:jc w:val="both"/>
                    <w:rPr>
                      <w:lang w:val="ru-RU"/>
                    </w:rPr>
                  </w:pPr>
                  <w:r w:rsidRPr="00977A76">
                    <w:rPr>
                      <w:lang w:val="ru-RU"/>
                    </w:rPr>
                    <w:t xml:space="preserve">Съгласно чл. 61 от Регламент (ЕС) № 1303/2013 </w:t>
                  </w:r>
                  <w:r w:rsidRPr="00977A76">
                    <w:rPr>
                      <w:b/>
                      <w:lang w:val="ru-RU"/>
                    </w:rPr>
                    <w:t xml:space="preserve">приходите </w:t>
                  </w:r>
                  <w:r w:rsidRPr="00977A76">
                    <w:rPr>
                      <w:lang w:val="ru-RU"/>
                    </w:rPr>
                    <w:t>от проекта представляват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w:t>
                  </w:r>
                  <w:r w:rsidRPr="00977A76">
                    <w:rPr>
                      <w:spacing w:val="-1"/>
                      <w:lang w:val="ru-RU"/>
                    </w:rPr>
                    <w:t xml:space="preserve"> </w:t>
                  </w:r>
                  <w:r w:rsidRPr="00977A76">
                    <w:rPr>
                      <w:lang w:val="ru-RU"/>
                    </w:rPr>
                    <w:t>услуги.</w:t>
                  </w:r>
                </w:p>
                <w:p w:rsidR="008517B1" w:rsidRPr="00977A76" w:rsidRDefault="008517B1">
                  <w:pPr>
                    <w:pStyle w:val="a5"/>
                    <w:spacing w:before="120" w:line="276" w:lineRule="auto"/>
                    <w:ind w:left="108" w:right="105"/>
                    <w:jc w:val="both"/>
                    <w:rPr>
                      <w:lang w:val="ru-RU"/>
                    </w:rPr>
                  </w:pPr>
                  <w:r w:rsidRPr="00977A76">
                    <w:rPr>
                      <w:b/>
                      <w:lang w:val="ru-RU"/>
                    </w:rPr>
                    <w:t xml:space="preserve">Нетните приходи </w:t>
                  </w:r>
                  <w:r w:rsidRPr="00977A76">
                    <w:rPr>
                      <w:lang w:val="ru-RU"/>
                    </w:rPr>
                    <w:t>се изчисляват като от положителните приходни парични потоци се извадят изходящите парични потоци на оперативните разходи за всяка година от референтния период и разходите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txbxContent>
            </v:textbox>
            <w10:wrap type="topAndBottom" anchorx="page"/>
          </v:shape>
        </w:pict>
      </w:r>
      <w:r w:rsidR="008517B1" w:rsidRPr="00977A76">
        <w:rPr>
          <w:lang w:val="ru-RU"/>
        </w:rPr>
        <w:t>.Определяне на Оперативните Разходи и Разходите за Поддръжка; Определяне на Приходите и Нетните</w:t>
      </w:r>
      <w:r w:rsidR="008517B1" w:rsidRPr="00977A76">
        <w:rPr>
          <w:spacing w:val="-2"/>
          <w:lang w:val="ru-RU"/>
        </w:rPr>
        <w:t xml:space="preserve"> </w:t>
      </w:r>
      <w:r w:rsidR="008517B1" w:rsidRPr="00977A76">
        <w:rPr>
          <w:lang w:val="ru-RU"/>
        </w:rPr>
        <w:t>Приходи.</w:t>
      </w:r>
    </w:p>
    <w:p w:rsidR="008517B1" w:rsidRPr="008312E0" w:rsidRDefault="008517B1" w:rsidP="005C3777">
      <w:pPr>
        <w:tabs>
          <w:tab w:val="left" w:pos="1039"/>
        </w:tabs>
        <w:rPr>
          <w:sz w:val="24"/>
          <w:szCs w:val="24"/>
          <w:lang w:val="ru-RU"/>
        </w:rPr>
      </w:pPr>
      <w:r>
        <w:rPr>
          <w:lang w:val="ru-RU"/>
        </w:rPr>
        <w:tab/>
      </w:r>
      <w:r w:rsidRPr="008312E0">
        <w:rPr>
          <w:sz w:val="24"/>
          <w:szCs w:val="24"/>
          <w:lang w:val="ru-RU"/>
        </w:rPr>
        <w:t>За изчисляването на дисконтираните нетни приходи се отчитат следните разходи, възникващи през референтния</w:t>
      </w:r>
      <w:r w:rsidRPr="008312E0">
        <w:rPr>
          <w:spacing w:val="-1"/>
          <w:sz w:val="24"/>
          <w:szCs w:val="24"/>
          <w:lang w:val="ru-RU"/>
        </w:rPr>
        <w:t xml:space="preserve"> </w:t>
      </w:r>
      <w:r w:rsidRPr="008312E0">
        <w:rPr>
          <w:sz w:val="24"/>
          <w:szCs w:val="24"/>
          <w:lang w:val="ru-RU"/>
        </w:rPr>
        <w:t>период:</w:t>
      </w:r>
    </w:p>
    <w:p w:rsidR="008517B1" w:rsidRPr="008312E0" w:rsidRDefault="008517B1">
      <w:pPr>
        <w:pStyle w:val="a7"/>
        <w:numPr>
          <w:ilvl w:val="2"/>
          <w:numId w:val="6"/>
        </w:numPr>
        <w:tabs>
          <w:tab w:val="left" w:pos="1221"/>
        </w:tabs>
        <w:spacing w:before="120" w:line="276" w:lineRule="auto"/>
        <w:ind w:right="360" w:firstLine="720"/>
        <w:jc w:val="both"/>
        <w:rPr>
          <w:sz w:val="24"/>
          <w:szCs w:val="24"/>
          <w:lang w:val="ru-RU"/>
        </w:rPr>
      </w:pPr>
      <w:r w:rsidRPr="008312E0">
        <w:rPr>
          <w:sz w:val="24"/>
          <w:szCs w:val="24"/>
          <w:lang w:val="ru-RU"/>
        </w:rPr>
        <w:t>постоянните оперативни разходи, в т.ч. разходите за поддръжка, например разходите за персонал, поддръжка и ремонт, общо управление и администрация, застраховки;</w:t>
      </w:r>
    </w:p>
    <w:p w:rsidR="008517B1" w:rsidRPr="008312E0" w:rsidRDefault="008517B1">
      <w:pPr>
        <w:pStyle w:val="a7"/>
        <w:numPr>
          <w:ilvl w:val="2"/>
          <w:numId w:val="6"/>
        </w:numPr>
        <w:tabs>
          <w:tab w:val="left" w:pos="1221"/>
        </w:tabs>
        <w:spacing w:before="123" w:line="276" w:lineRule="auto"/>
        <w:ind w:right="360" w:firstLine="720"/>
        <w:jc w:val="both"/>
        <w:rPr>
          <w:sz w:val="24"/>
          <w:szCs w:val="24"/>
          <w:lang w:val="ru-RU"/>
        </w:rPr>
      </w:pPr>
      <w:r w:rsidRPr="008312E0">
        <w:rPr>
          <w:sz w:val="24"/>
          <w:szCs w:val="24"/>
          <w:lang w:val="ru-RU"/>
        </w:rPr>
        <w:t xml:space="preserve">променливите оперативни разходи, в т.ч. разходите за поддръжка, например </w:t>
      </w:r>
      <w:r w:rsidRPr="008312E0">
        <w:rPr>
          <w:sz w:val="24"/>
          <w:szCs w:val="24"/>
          <w:lang w:val="ru-RU"/>
        </w:rPr>
        <w:lastRenderedPageBreak/>
        <w:t>разходите за суровини, енергия и други материали за производството, както и разходите за поддръжка и ремонт, необходими за удължаване на срока на</w:t>
      </w:r>
      <w:r w:rsidRPr="008312E0">
        <w:rPr>
          <w:spacing w:val="-25"/>
          <w:sz w:val="24"/>
          <w:szCs w:val="24"/>
          <w:lang w:val="ru-RU"/>
        </w:rPr>
        <w:t xml:space="preserve"> </w:t>
      </w:r>
      <w:r w:rsidRPr="008312E0">
        <w:rPr>
          <w:sz w:val="24"/>
          <w:szCs w:val="24"/>
          <w:lang w:val="ru-RU"/>
        </w:rPr>
        <w:t>операцията.</w:t>
      </w:r>
    </w:p>
    <w:p w:rsidR="008517B1" w:rsidRPr="008312E0" w:rsidRDefault="008517B1">
      <w:pPr>
        <w:pStyle w:val="a7"/>
        <w:numPr>
          <w:ilvl w:val="2"/>
          <w:numId w:val="6"/>
        </w:numPr>
        <w:tabs>
          <w:tab w:val="left" w:pos="1221"/>
        </w:tabs>
        <w:spacing w:before="121" w:line="278" w:lineRule="auto"/>
        <w:ind w:right="360" w:firstLine="720"/>
        <w:jc w:val="both"/>
        <w:rPr>
          <w:sz w:val="24"/>
          <w:szCs w:val="24"/>
          <w:lang w:val="ru-RU"/>
        </w:rPr>
      </w:pPr>
      <w:r w:rsidRPr="008312E0">
        <w:rPr>
          <w:sz w:val="24"/>
          <w:szCs w:val="24"/>
          <w:lang w:val="ru-RU"/>
        </w:rPr>
        <w:t>разходите за подмяна на краткотрайното оборудване, осигуряваща техническото осъществяване на проекта по време на референтния</w:t>
      </w:r>
      <w:r w:rsidRPr="008312E0">
        <w:rPr>
          <w:spacing w:val="-11"/>
          <w:sz w:val="24"/>
          <w:szCs w:val="24"/>
          <w:lang w:val="ru-RU"/>
        </w:rPr>
        <w:t xml:space="preserve"> </w:t>
      </w:r>
      <w:r w:rsidRPr="008312E0">
        <w:rPr>
          <w:sz w:val="24"/>
          <w:szCs w:val="24"/>
          <w:lang w:val="ru-RU"/>
        </w:rPr>
        <w:t>период.</w:t>
      </w:r>
    </w:p>
    <w:p w:rsidR="008517B1" w:rsidRPr="00977A76" w:rsidRDefault="00283A43">
      <w:pPr>
        <w:pStyle w:val="a5"/>
        <w:spacing w:before="9"/>
        <w:ind w:left="0"/>
        <w:rPr>
          <w:sz w:val="17"/>
          <w:lang w:val="ru-RU"/>
        </w:rPr>
      </w:pPr>
      <w:r>
        <w:rPr>
          <w:noProof/>
          <w:lang w:val="bg-BG" w:eastAsia="bg-BG"/>
        </w:rPr>
        <w:pict>
          <v:shape id="_x0000_s1032" type="#_x0000_t202" style="position:absolute;margin-left:65.2pt;margin-top:12.45pt;width:465pt;height:81.85pt;z-index:6;mso-wrap-distance-left:0;mso-wrap-distance-right:0;mso-position-horizontal-relative:page" filled="f" strokeweight=".48pt">
            <v:textbox inset="0,0,0,0">
              <w:txbxContent>
                <w:p w:rsidR="008517B1" w:rsidRPr="00977A76" w:rsidRDefault="008517B1">
                  <w:pPr>
                    <w:spacing w:before="13" w:line="276" w:lineRule="auto"/>
                    <w:ind w:left="108" w:right="103"/>
                    <w:jc w:val="both"/>
                    <w:rPr>
                      <w:b/>
                      <w:sz w:val="24"/>
                      <w:lang w:val="ru-RU"/>
                    </w:rPr>
                  </w:pPr>
                  <w:r w:rsidRPr="00977A76">
                    <w:rPr>
                      <w:b/>
                      <w:lang w:val="ru-RU"/>
                    </w:rPr>
                    <w:t>Забележка</w:t>
                  </w:r>
                  <w:r w:rsidRPr="00977A76">
                    <w:rPr>
                      <w:sz w:val="24"/>
                      <w:lang w:val="ru-RU"/>
                    </w:rPr>
                    <w:t xml:space="preserve">: Следва да се има предвид, че за проекти, чиято левова равностойност на допустимите разходи е по-ниска от </w:t>
                  </w:r>
                  <w:r w:rsidRPr="00977A76">
                    <w:rPr>
                      <w:b/>
                      <w:sz w:val="24"/>
                      <w:lang w:val="ru-RU"/>
                    </w:rPr>
                    <w:t>1 000 000 евро</w:t>
                  </w:r>
                  <w:r w:rsidRPr="00977A76">
                    <w:rPr>
                      <w:sz w:val="24"/>
                      <w:lang w:val="ru-RU"/>
                    </w:rPr>
                    <w:t xml:space="preserve">, приходите, генерирани от проекта </w:t>
                  </w:r>
                  <w:r w:rsidRPr="00977A76">
                    <w:rPr>
                      <w:b/>
                      <w:sz w:val="24"/>
                      <w:lang w:val="ru-RU"/>
                    </w:rPr>
                    <w:t xml:space="preserve">след неговото изпълнение </w:t>
                  </w:r>
                  <w:r w:rsidRPr="00977A76">
                    <w:rPr>
                      <w:sz w:val="24"/>
                      <w:lang w:val="ru-RU"/>
                    </w:rPr>
                    <w:t>не е необходимо да се отчитат при изчисляването на нетните приходи (съгласно чл. 61 параграф 7 б) Регламент (ЕС) № 1303/2013)</w:t>
                  </w:r>
                  <w:r w:rsidRPr="00977A76">
                    <w:rPr>
                      <w:b/>
                      <w:sz w:val="24"/>
                      <w:lang w:val="ru-RU"/>
                    </w:rPr>
                    <w:t>. Те, обаче, следва да се вземат предвид при анализа на</w:t>
                  </w:r>
                  <w:r w:rsidRPr="00977A76">
                    <w:rPr>
                      <w:b/>
                      <w:spacing w:val="-10"/>
                      <w:sz w:val="24"/>
                      <w:lang w:val="ru-RU"/>
                    </w:rPr>
                    <w:t xml:space="preserve"> </w:t>
                  </w:r>
                  <w:r w:rsidRPr="00977A76">
                    <w:rPr>
                      <w:b/>
                      <w:sz w:val="24"/>
                      <w:lang w:val="ru-RU"/>
                    </w:rPr>
                    <w:t>устойчивостта.</w:t>
                  </w:r>
                </w:p>
              </w:txbxContent>
            </v:textbox>
            <w10:wrap type="topAndBottom" anchorx="page"/>
          </v:shape>
        </w:pict>
      </w:r>
    </w:p>
    <w:p w:rsidR="008517B1" w:rsidRPr="00977A76" w:rsidRDefault="008517B1">
      <w:pPr>
        <w:spacing w:before="90"/>
        <w:ind w:left="236"/>
        <w:rPr>
          <w:b/>
          <w:i/>
          <w:sz w:val="24"/>
          <w:lang w:val="ru-RU"/>
        </w:rPr>
      </w:pPr>
      <w:r w:rsidRPr="00977A76">
        <w:rPr>
          <w:b/>
          <w:i/>
          <w:sz w:val="24"/>
          <w:lang w:val="ru-RU"/>
        </w:rPr>
        <w:t>Тарифна стратегия и достъпност (ако е приложимо)</w:t>
      </w:r>
      <w:r w:rsidRPr="00977A76">
        <w:rPr>
          <w:b/>
          <w:i/>
          <w:sz w:val="24"/>
          <w:vertAlign w:val="superscript"/>
          <w:lang w:val="ru-RU"/>
        </w:rPr>
        <w:t>1</w:t>
      </w:r>
    </w:p>
    <w:p w:rsidR="008517B1" w:rsidRPr="00977A76" w:rsidRDefault="008517B1">
      <w:pPr>
        <w:spacing w:before="156" w:line="276" w:lineRule="auto"/>
        <w:ind w:left="236" w:right="358" w:firstLine="719"/>
        <w:jc w:val="both"/>
        <w:rPr>
          <w:i/>
          <w:sz w:val="24"/>
          <w:lang w:val="ru-RU"/>
        </w:rPr>
      </w:pPr>
      <w:r w:rsidRPr="00977A76">
        <w:rPr>
          <w:i/>
          <w:sz w:val="24"/>
          <w:lang w:val="ru-RU"/>
        </w:rPr>
        <w:t>Ако се очаква проектът да генерира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rsidR="008517B1" w:rsidRPr="00977A76" w:rsidRDefault="008517B1">
      <w:pPr>
        <w:spacing w:before="121" w:line="278" w:lineRule="auto"/>
        <w:ind w:left="236" w:right="354" w:firstLine="719"/>
        <w:jc w:val="both"/>
        <w:rPr>
          <w:i/>
          <w:sz w:val="24"/>
          <w:lang w:val="ru-RU"/>
        </w:rPr>
      </w:pPr>
      <w:r w:rsidRPr="00977A76">
        <w:rPr>
          <w:i/>
          <w:sz w:val="24"/>
          <w:lang w:val="ru-RU"/>
        </w:rPr>
        <w:t>Таксите покриват ли оперативните разходи, включително разходите за поддръжката и за подмяна по проекта.</w:t>
      </w:r>
    </w:p>
    <w:p w:rsidR="008517B1" w:rsidRPr="008312E0" w:rsidRDefault="00283A43">
      <w:pPr>
        <w:spacing w:before="118" w:line="276" w:lineRule="auto"/>
        <w:ind w:left="236" w:right="356" w:firstLine="719"/>
        <w:jc w:val="both"/>
        <w:rPr>
          <w:i/>
          <w:lang w:val="ru-RU"/>
        </w:rPr>
      </w:pPr>
      <w:r>
        <w:rPr>
          <w:noProof/>
          <w:lang w:val="bg-BG" w:eastAsia="bg-BG"/>
        </w:rPr>
        <w:pict>
          <v:line id="_x0000_s1033" style="position:absolute;left:0;text-align:left;z-index:7;mso-wrap-distance-left:0;mso-wrap-distance-right:0;mso-position-horizontal-relative:page" from="70.8pt,92.2pt" to="214.85pt,92.2pt" strokeweight=".48pt">
            <w10:wrap type="topAndBottom" anchorx="page"/>
          </v:line>
        </w:pict>
      </w:r>
      <w:r w:rsidR="008517B1" w:rsidRPr="008312E0">
        <w:rPr>
          <w:i/>
          <w:lang w:val="ru-RU"/>
        </w:rPr>
        <w:t>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необхванатите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rsidR="008517B1" w:rsidRPr="00977A76" w:rsidRDefault="008517B1">
      <w:pPr>
        <w:spacing w:line="276" w:lineRule="auto"/>
        <w:ind w:left="236" w:right="363"/>
        <w:jc w:val="both"/>
        <w:rPr>
          <w:i/>
          <w:sz w:val="16"/>
          <w:lang w:val="ru-RU"/>
        </w:rPr>
      </w:pPr>
      <w:r w:rsidRPr="00977A76">
        <w:rPr>
          <w:position w:val="7"/>
          <w:sz w:val="10"/>
          <w:lang w:val="ru-RU"/>
        </w:rPr>
        <w:t xml:space="preserve">1 </w:t>
      </w:r>
      <w:r w:rsidRPr="00977A76">
        <w:rPr>
          <w:i/>
          <w:sz w:val="16"/>
          <w:lang w:val="ru-RU"/>
        </w:rPr>
        <w:t>В сектори, където това е уместно, включително в сектора на опазване на околната среда, тарифите се фиксират в съответствие с принципа „замърсителят плаща“, като се взема предвид достъпността, а също и принципа за възстановяване  на разходите в пълен</w:t>
      </w:r>
      <w:r w:rsidRPr="00977A76">
        <w:rPr>
          <w:i/>
          <w:spacing w:val="-6"/>
          <w:sz w:val="16"/>
          <w:lang w:val="ru-RU"/>
        </w:rPr>
        <w:t xml:space="preserve"> </w:t>
      </w:r>
      <w:r w:rsidRPr="00977A76">
        <w:rPr>
          <w:i/>
          <w:sz w:val="16"/>
          <w:lang w:val="ru-RU"/>
        </w:rPr>
        <w:t>размер.</w:t>
      </w:r>
    </w:p>
    <w:p w:rsidR="008517B1" w:rsidRPr="00977A76" w:rsidRDefault="008517B1">
      <w:pPr>
        <w:spacing w:before="120"/>
        <w:ind w:left="236"/>
        <w:rPr>
          <w:i/>
          <w:sz w:val="16"/>
          <w:lang w:val="ru-RU"/>
        </w:rPr>
      </w:pPr>
      <w:r w:rsidRPr="00977A76">
        <w:rPr>
          <w:i/>
          <w:sz w:val="16"/>
          <w:lang w:val="ru-RU"/>
        </w:rPr>
        <w:t>Спазването на принципа за възстановяване на разходите в пълен размер включва следното:</w:t>
      </w:r>
    </w:p>
    <w:p w:rsidR="008517B1" w:rsidRPr="00977A76" w:rsidRDefault="008517B1">
      <w:pPr>
        <w:pStyle w:val="a7"/>
        <w:numPr>
          <w:ilvl w:val="0"/>
          <w:numId w:val="5"/>
        </w:numPr>
        <w:tabs>
          <w:tab w:val="left" w:pos="419"/>
        </w:tabs>
        <w:spacing w:before="147" w:line="276" w:lineRule="auto"/>
        <w:ind w:right="362" w:firstLine="0"/>
        <w:rPr>
          <w:i/>
          <w:sz w:val="16"/>
          <w:lang w:val="ru-RU"/>
        </w:rPr>
      </w:pPr>
      <w:r w:rsidRPr="00977A76">
        <w:rPr>
          <w:i/>
          <w:sz w:val="16"/>
          <w:lang w:val="ru-RU"/>
        </w:rPr>
        <w:t>целта на тарифите е, доколкото е възможно, да се възстановят капиталовите разходи, оперативните разходи и разходите за поддръжка, включително разходите за опазване на околната среда и за</w:t>
      </w:r>
      <w:r w:rsidRPr="00977A76">
        <w:rPr>
          <w:i/>
          <w:spacing w:val="-8"/>
          <w:sz w:val="16"/>
          <w:lang w:val="ru-RU"/>
        </w:rPr>
        <w:t xml:space="preserve"> </w:t>
      </w:r>
      <w:r w:rsidRPr="00977A76">
        <w:rPr>
          <w:i/>
          <w:sz w:val="16"/>
          <w:lang w:val="ru-RU"/>
        </w:rPr>
        <w:t>ресурси;</w:t>
      </w:r>
    </w:p>
    <w:p w:rsidR="008517B1" w:rsidRPr="00977A76" w:rsidRDefault="008517B1">
      <w:pPr>
        <w:pStyle w:val="a7"/>
        <w:numPr>
          <w:ilvl w:val="0"/>
          <w:numId w:val="5"/>
        </w:numPr>
        <w:tabs>
          <w:tab w:val="left" w:pos="417"/>
        </w:tabs>
        <w:spacing w:before="120" w:line="278" w:lineRule="auto"/>
        <w:ind w:right="355" w:firstLine="0"/>
        <w:rPr>
          <w:i/>
          <w:sz w:val="16"/>
          <w:lang w:val="ru-RU"/>
        </w:rPr>
      </w:pPr>
      <w:r w:rsidRPr="00977A76">
        <w:rPr>
          <w:i/>
          <w:sz w:val="16"/>
          <w:lang w:val="ru-RU"/>
        </w:rPr>
        <w:t>тарифната структура ще увеличи максимално приходите от проекта преди отпускането на държавни субсидии, като същевременно се отчита и тяхната</w:t>
      </w:r>
      <w:r w:rsidRPr="00977A76">
        <w:rPr>
          <w:i/>
          <w:spacing w:val="-3"/>
          <w:sz w:val="16"/>
          <w:lang w:val="ru-RU"/>
        </w:rPr>
        <w:t xml:space="preserve"> </w:t>
      </w:r>
      <w:r w:rsidRPr="00977A76">
        <w:rPr>
          <w:i/>
          <w:sz w:val="16"/>
          <w:lang w:val="ru-RU"/>
        </w:rPr>
        <w:t>достъпност.</w:t>
      </w:r>
    </w:p>
    <w:p w:rsidR="008517B1" w:rsidRPr="00977A76" w:rsidRDefault="008517B1">
      <w:pPr>
        <w:spacing w:before="118" w:line="276" w:lineRule="auto"/>
        <w:ind w:left="236" w:right="199"/>
        <w:rPr>
          <w:i/>
          <w:sz w:val="16"/>
          <w:lang w:val="ru-RU"/>
        </w:rPr>
      </w:pPr>
      <w:r w:rsidRPr="00977A76">
        <w:rPr>
          <w:i/>
          <w:sz w:val="16"/>
          <w:lang w:val="ru-RU"/>
        </w:rPr>
        <w:t>Ограниченията на принципа „замърсителят плаща“ и принципа за възстановяване на разходите в пълен размер при потребителските такси следва да:</w:t>
      </w:r>
    </w:p>
    <w:p w:rsidR="008517B1" w:rsidRPr="00977A76" w:rsidRDefault="008517B1">
      <w:pPr>
        <w:pStyle w:val="a7"/>
        <w:numPr>
          <w:ilvl w:val="0"/>
          <w:numId w:val="4"/>
        </w:numPr>
        <w:tabs>
          <w:tab w:val="left" w:pos="419"/>
        </w:tabs>
        <w:spacing w:before="120"/>
        <w:ind w:firstLine="0"/>
        <w:rPr>
          <w:i/>
          <w:sz w:val="16"/>
          <w:lang w:val="ru-RU"/>
        </w:rPr>
      </w:pPr>
      <w:r w:rsidRPr="00977A76">
        <w:rPr>
          <w:i/>
          <w:sz w:val="16"/>
          <w:lang w:val="ru-RU"/>
        </w:rPr>
        <w:t>не застрашават финансовата устойчивост на</w:t>
      </w:r>
      <w:r w:rsidRPr="00977A76">
        <w:rPr>
          <w:i/>
          <w:spacing w:val="-5"/>
          <w:sz w:val="16"/>
          <w:lang w:val="ru-RU"/>
        </w:rPr>
        <w:t xml:space="preserve"> </w:t>
      </w:r>
      <w:r w:rsidRPr="00977A76">
        <w:rPr>
          <w:i/>
          <w:sz w:val="16"/>
          <w:lang w:val="ru-RU"/>
        </w:rPr>
        <w:t>проекта;</w:t>
      </w:r>
    </w:p>
    <w:p w:rsidR="008517B1" w:rsidRPr="00977A76" w:rsidRDefault="008517B1">
      <w:pPr>
        <w:pStyle w:val="a7"/>
        <w:numPr>
          <w:ilvl w:val="0"/>
          <w:numId w:val="4"/>
        </w:numPr>
        <w:tabs>
          <w:tab w:val="left" w:pos="419"/>
        </w:tabs>
        <w:spacing w:before="147" w:line="276" w:lineRule="auto"/>
        <w:ind w:right="364" w:firstLine="0"/>
        <w:rPr>
          <w:i/>
          <w:sz w:val="16"/>
          <w:lang w:val="ru-RU"/>
        </w:rPr>
      </w:pPr>
      <w:r w:rsidRPr="00977A76">
        <w:rPr>
          <w:i/>
          <w:sz w:val="16"/>
          <w:lang w:val="ru-RU"/>
        </w:rPr>
        <w:t>се разглеждат като общо правило като временни ограничения и да се запазят само докато съществува проблемът с достъпността им за</w:t>
      </w:r>
      <w:r w:rsidRPr="00977A76">
        <w:rPr>
          <w:i/>
          <w:spacing w:val="-2"/>
          <w:sz w:val="16"/>
          <w:lang w:val="ru-RU"/>
        </w:rPr>
        <w:t xml:space="preserve"> </w:t>
      </w:r>
      <w:r w:rsidRPr="00977A76">
        <w:rPr>
          <w:i/>
          <w:sz w:val="16"/>
          <w:lang w:val="ru-RU"/>
        </w:rPr>
        <w:t>ползвателите.</w:t>
      </w:r>
    </w:p>
    <w:p w:rsidR="008517B1" w:rsidRPr="006E21A4" w:rsidRDefault="008517B1">
      <w:pPr>
        <w:spacing w:line="276" w:lineRule="auto"/>
        <w:rPr>
          <w:sz w:val="16"/>
          <w:lang w:val="ru-RU"/>
        </w:rPr>
      </w:pPr>
    </w:p>
    <w:p w:rsidR="008517B1" w:rsidRPr="006E21A4" w:rsidRDefault="008517B1">
      <w:pPr>
        <w:spacing w:line="276" w:lineRule="auto"/>
        <w:rPr>
          <w:sz w:val="16"/>
          <w:lang w:val="ru-RU"/>
        </w:rPr>
      </w:pPr>
    </w:p>
    <w:p w:rsidR="008517B1" w:rsidRPr="006E21A4" w:rsidRDefault="008517B1">
      <w:pPr>
        <w:spacing w:line="276" w:lineRule="auto"/>
        <w:rPr>
          <w:sz w:val="16"/>
          <w:lang w:val="ru-RU"/>
        </w:rPr>
      </w:pPr>
    </w:p>
    <w:p w:rsidR="008517B1" w:rsidRPr="006E21A4" w:rsidRDefault="008517B1">
      <w:pPr>
        <w:spacing w:line="276" w:lineRule="auto"/>
        <w:rPr>
          <w:sz w:val="16"/>
          <w:lang w:val="ru-RU"/>
        </w:rPr>
      </w:pPr>
    </w:p>
    <w:p w:rsidR="008517B1" w:rsidRPr="006E21A4" w:rsidRDefault="008517B1">
      <w:pPr>
        <w:spacing w:line="276" w:lineRule="auto"/>
        <w:rPr>
          <w:sz w:val="16"/>
          <w:lang w:val="ru-RU"/>
        </w:rPr>
      </w:pPr>
    </w:p>
    <w:p w:rsidR="008517B1" w:rsidRDefault="008517B1">
      <w:pPr>
        <w:pStyle w:val="Heading11"/>
        <w:numPr>
          <w:ilvl w:val="1"/>
          <w:numId w:val="3"/>
        </w:numPr>
        <w:tabs>
          <w:tab w:val="left" w:pos="662"/>
        </w:tabs>
        <w:spacing w:before="64"/>
        <w:ind w:firstLine="0"/>
      </w:pPr>
      <w:r>
        <w:t>Източници на</w:t>
      </w:r>
      <w:r>
        <w:rPr>
          <w:spacing w:val="-1"/>
        </w:rPr>
        <w:t xml:space="preserve"> </w:t>
      </w:r>
      <w:r>
        <w:t>финансиране</w:t>
      </w:r>
    </w:p>
    <w:p w:rsidR="008517B1" w:rsidRPr="00977A76" w:rsidRDefault="008517B1">
      <w:pPr>
        <w:pStyle w:val="a5"/>
        <w:spacing w:before="155" w:line="276" w:lineRule="auto"/>
        <w:ind w:right="352" w:firstLine="719"/>
        <w:jc w:val="both"/>
        <w:rPr>
          <w:lang w:val="ru-RU"/>
        </w:rPr>
      </w:pPr>
      <w:r w:rsidRPr="00977A76">
        <w:rPr>
          <w:lang w:val="ru-RU"/>
        </w:rPr>
        <w:t xml:space="preserve">Предвидените източници на финансиране на проекта следва да бъдат представени в табличен вид. Това могат да бъдат: средства от ЕЗФРСР; средства от Националния бюджет; собственият капитал на инвеститора; заемен капитал (в този случай за проекта погасяването на заема и лихвите са изходящ </w:t>
      </w:r>
      <w:r w:rsidRPr="00977A76">
        <w:rPr>
          <w:lang w:val="ru-RU"/>
        </w:rPr>
        <w:lastRenderedPageBreak/>
        <w:t>поток в анализа на устойчивостта).</w:t>
      </w:r>
    </w:p>
    <w:p w:rsidR="008517B1" w:rsidRPr="00977A76" w:rsidRDefault="008517B1">
      <w:pPr>
        <w:pStyle w:val="Heading11"/>
        <w:numPr>
          <w:ilvl w:val="1"/>
          <w:numId w:val="3"/>
        </w:numPr>
        <w:tabs>
          <w:tab w:val="left" w:pos="662"/>
          <w:tab w:val="left" w:pos="2383"/>
          <w:tab w:val="left" w:pos="2946"/>
          <w:tab w:val="left" w:pos="5066"/>
          <w:tab w:val="left" w:pos="7104"/>
          <w:tab w:val="left" w:pos="8268"/>
          <w:tab w:val="left" w:pos="9173"/>
        </w:tabs>
        <w:spacing w:before="125" w:line="276" w:lineRule="auto"/>
        <w:ind w:right="352" w:firstLine="0"/>
        <w:rPr>
          <w:lang w:val="ru-RU"/>
        </w:rPr>
      </w:pPr>
      <w:r w:rsidRPr="00977A76">
        <w:rPr>
          <w:lang w:val="ru-RU"/>
        </w:rPr>
        <w:t>Изчисляване</w:t>
      </w:r>
      <w:r w:rsidRPr="00977A76">
        <w:rPr>
          <w:lang w:val="ru-RU"/>
        </w:rPr>
        <w:tab/>
        <w:t>на</w:t>
      </w:r>
      <w:r w:rsidRPr="00977A76">
        <w:rPr>
          <w:lang w:val="ru-RU"/>
        </w:rPr>
        <w:tab/>
        <w:t>Дисконтираните</w:t>
      </w:r>
      <w:r w:rsidRPr="00977A76">
        <w:rPr>
          <w:lang w:val="ru-RU"/>
        </w:rPr>
        <w:tab/>
        <w:t>Инвестиционни</w:t>
      </w:r>
      <w:r w:rsidRPr="00977A76">
        <w:rPr>
          <w:lang w:val="ru-RU"/>
        </w:rPr>
        <w:tab/>
        <w:t>Разходи</w:t>
      </w:r>
      <w:r w:rsidRPr="00977A76">
        <w:rPr>
          <w:lang w:val="ru-RU"/>
        </w:rPr>
        <w:tab/>
        <w:t>(</w:t>
      </w:r>
      <w:r>
        <w:t>DIC</w:t>
      </w:r>
      <w:r w:rsidRPr="00977A76">
        <w:rPr>
          <w:lang w:val="ru-RU"/>
        </w:rPr>
        <w:t>)</w:t>
      </w:r>
      <w:r w:rsidRPr="00977A76">
        <w:rPr>
          <w:lang w:val="ru-RU"/>
        </w:rPr>
        <w:tab/>
        <w:t>и Дисконтираните Нетни Приходи</w:t>
      </w:r>
      <w:r w:rsidRPr="00977A76">
        <w:rPr>
          <w:spacing w:val="-2"/>
          <w:lang w:val="ru-RU"/>
        </w:rPr>
        <w:t xml:space="preserve"> </w:t>
      </w:r>
      <w:r w:rsidRPr="00977A76">
        <w:rPr>
          <w:lang w:val="ru-RU"/>
        </w:rPr>
        <w:t>(</w:t>
      </w:r>
      <w:r>
        <w:t>DNR</w:t>
      </w:r>
      <w:r w:rsidRPr="00977A76">
        <w:rPr>
          <w:lang w:val="ru-RU"/>
        </w:rPr>
        <w:t>).</w:t>
      </w:r>
    </w:p>
    <w:p w:rsidR="008517B1" w:rsidRPr="00977A76" w:rsidRDefault="008517B1">
      <w:pPr>
        <w:pStyle w:val="a5"/>
        <w:spacing w:before="116" w:line="278" w:lineRule="auto"/>
        <w:ind w:right="361" w:firstLine="719"/>
        <w:jc w:val="both"/>
        <w:rPr>
          <w:lang w:val="ru-RU"/>
        </w:rPr>
      </w:pPr>
      <w:r w:rsidRPr="00977A76">
        <w:rPr>
          <w:lang w:val="ru-RU"/>
        </w:rPr>
        <w:t>При изчисляване на Дисконтираните Инвестиционни Разходи непредвидените разходи следва да се изключат.</w:t>
      </w:r>
    </w:p>
    <w:p w:rsidR="008517B1" w:rsidRPr="00977A76" w:rsidRDefault="008517B1">
      <w:pPr>
        <w:pStyle w:val="a5"/>
        <w:spacing w:before="118" w:line="276" w:lineRule="auto"/>
        <w:ind w:right="363" w:firstLine="719"/>
        <w:jc w:val="both"/>
        <w:rPr>
          <w:lang w:val="ru-RU"/>
        </w:rPr>
      </w:pPr>
      <w:r w:rsidRPr="00977A76">
        <w:rPr>
          <w:lang w:val="ru-RU"/>
        </w:rPr>
        <w:t>При изчисляване на Дисконтираните Нетни Приходи (</w:t>
      </w:r>
      <w:r>
        <w:t>DNR</w:t>
      </w:r>
      <w:r w:rsidRPr="00977A76">
        <w:rPr>
          <w:lang w:val="ru-RU"/>
        </w:rPr>
        <w:t>) се приспадат оперативните разходи (включително разходите за поддръжка) и разходите за подмяна и се прибавя остатъчната стойност.</w:t>
      </w:r>
    </w:p>
    <w:p w:rsidR="008517B1" w:rsidRPr="00977A76" w:rsidRDefault="008517B1">
      <w:pPr>
        <w:pStyle w:val="a5"/>
        <w:spacing w:before="123" w:line="276" w:lineRule="auto"/>
        <w:ind w:right="353" w:firstLine="719"/>
        <w:jc w:val="both"/>
        <w:rPr>
          <w:lang w:val="ru-RU"/>
        </w:rPr>
      </w:pPr>
      <w:r w:rsidRPr="00977A76">
        <w:rPr>
          <w:b/>
          <w:lang w:val="ru-RU"/>
        </w:rPr>
        <w:t xml:space="preserve">Остатъчна стойност - </w:t>
      </w:r>
      <w:r w:rsidRPr="00977A76">
        <w:rPr>
          <w:lang w:val="ru-RU"/>
        </w:rPr>
        <w:t>Когато активите по дадена операция имат проектен срок на годност, който надвишава референтния период, остатъчната им стойност се  определя чрез изчисляване на нетната настояща стойност на паричните потоци в оставащите години от жизнения цикъл на операцията. Други методи за изчисляване на остатъчната стойност могат да се използват при надлежно обосновани</w:t>
      </w:r>
      <w:r w:rsidRPr="00977A76">
        <w:rPr>
          <w:spacing w:val="-24"/>
          <w:lang w:val="ru-RU"/>
        </w:rPr>
        <w:t xml:space="preserve"> </w:t>
      </w:r>
      <w:r w:rsidRPr="00977A76">
        <w:rPr>
          <w:lang w:val="ru-RU"/>
        </w:rPr>
        <w:t>обстоятелства.</w:t>
      </w:r>
    </w:p>
    <w:p w:rsidR="008517B1" w:rsidRPr="006E21A4" w:rsidRDefault="00283A43">
      <w:pPr>
        <w:pStyle w:val="a5"/>
        <w:spacing w:before="121" w:line="276" w:lineRule="auto"/>
        <w:ind w:right="363" w:firstLine="719"/>
        <w:jc w:val="both"/>
        <w:rPr>
          <w:lang w:val="ru-RU"/>
        </w:rPr>
      </w:pPr>
      <w:r>
        <w:rPr>
          <w:noProof/>
          <w:lang w:val="bg-BG" w:eastAsia="bg-BG"/>
        </w:rPr>
        <w:pict>
          <v:shape id="_x0000_s1034" type="#_x0000_t202" style="position:absolute;left:0;text-align:left;margin-left:65.2pt;margin-top:60.2pt;width:465pt;height:50.05pt;z-index:8;mso-wrap-distance-left:0;mso-wrap-distance-right:0;mso-position-horizontal-relative:page" filled="f" strokeweight=".48pt">
            <v:textbox style="mso-next-textbox:#_x0000_s1034" inset="0,0,0,0">
              <w:txbxContent>
                <w:p w:rsidR="008517B1" w:rsidRPr="006E21A4" w:rsidRDefault="008517B1">
                  <w:pPr>
                    <w:spacing w:before="18" w:line="276" w:lineRule="auto"/>
                    <w:ind w:left="108" w:right="105" w:firstLine="60"/>
                    <w:jc w:val="both"/>
                    <w:rPr>
                      <w:b/>
                      <w:sz w:val="24"/>
                      <w:lang w:val="ru-RU"/>
                    </w:rPr>
                  </w:pPr>
                  <w:r w:rsidRPr="00977A76">
                    <w:rPr>
                      <w:b/>
                      <w:lang w:val="ru-RU"/>
                    </w:rPr>
                    <w:t>За целите на изчисляването на Дисконтираните Инвестиционни Разходи (</w:t>
                  </w:r>
                  <w:r>
                    <w:rPr>
                      <w:b/>
                      <w:sz w:val="24"/>
                    </w:rPr>
                    <w:t>DIC</w:t>
                  </w:r>
                  <w:r w:rsidRPr="00977A76">
                    <w:rPr>
                      <w:b/>
                      <w:sz w:val="24"/>
                      <w:lang w:val="ru-RU"/>
                    </w:rPr>
                    <w:t>) и Дисконтираните Нетни Приходи (</w:t>
                  </w:r>
                  <w:r>
                    <w:rPr>
                      <w:b/>
                      <w:sz w:val="24"/>
                    </w:rPr>
                    <w:t>DNR</w:t>
                  </w:r>
                  <w:r w:rsidRPr="00977A76">
                    <w:rPr>
                      <w:b/>
                      <w:sz w:val="24"/>
                      <w:lang w:val="ru-RU"/>
                    </w:rPr>
                    <w:t>), препоръчаната от Комисията в Делегиран регламент (ЕС) № 480/2014 дисконтова норма за периода 2014-2020 г. е 4%.</w:t>
                  </w:r>
                  <w:r w:rsidRPr="006E21A4">
                    <w:rPr>
                      <w:b/>
                      <w:sz w:val="24"/>
                      <w:lang w:val="ru-RU"/>
                    </w:rPr>
                    <w:br/>
                  </w:r>
                  <w:r w:rsidRPr="006E21A4">
                    <w:rPr>
                      <w:b/>
                      <w:sz w:val="24"/>
                      <w:lang w:val="ru-RU"/>
                    </w:rPr>
                    <w:br/>
                  </w:r>
                  <w:r w:rsidRPr="006E21A4">
                    <w:rPr>
                      <w:b/>
                      <w:sz w:val="24"/>
                      <w:lang w:val="ru-RU"/>
                    </w:rPr>
                    <w:br/>
                  </w:r>
                  <w:r w:rsidRPr="006E21A4">
                    <w:rPr>
                      <w:b/>
                      <w:sz w:val="24"/>
                      <w:lang w:val="ru-RU"/>
                    </w:rPr>
                    <w:br/>
                  </w:r>
                  <w:r w:rsidRPr="006E21A4">
                    <w:rPr>
                      <w:b/>
                      <w:sz w:val="24"/>
                      <w:lang w:val="ru-RU"/>
                    </w:rPr>
                    <w:br/>
                  </w:r>
                </w:p>
              </w:txbxContent>
            </v:textbox>
            <w10:wrap type="topAndBottom" anchorx="page"/>
          </v:shape>
        </w:pict>
      </w:r>
      <w:r w:rsidR="008517B1" w:rsidRPr="00977A76">
        <w:rPr>
          <w:lang w:val="ru-RU"/>
        </w:rPr>
        <w:t xml:space="preserve">Когато </w:t>
      </w:r>
      <w:r w:rsidR="008517B1" w:rsidRPr="00977A76">
        <w:rPr>
          <w:b/>
          <w:lang w:val="ru-RU"/>
        </w:rPr>
        <w:t xml:space="preserve">не </w:t>
      </w:r>
      <w:r w:rsidR="008517B1" w:rsidRPr="00977A76">
        <w:rPr>
          <w:lang w:val="ru-RU"/>
        </w:rPr>
        <w:t>всички инвестиционни разходи по проекта са допустими за съфинансиране, нетните приходи се разпределят пропорционално между допустимите</w:t>
      </w:r>
      <w:r w:rsidR="008517B1" w:rsidRPr="008312E0">
        <w:rPr>
          <w:lang w:val="ru-RU"/>
        </w:rPr>
        <w:t xml:space="preserve"> </w:t>
      </w:r>
      <w:r w:rsidR="008517B1" w:rsidRPr="00977A76">
        <w:rPr>
          <w:lang w:val="ru-RU"/>
        </w:rPr>
        <w:t>и недопустимите части от инвестиционните разходи.</w:t>
      </w:r>
    </w:p>
    <w:p w:rsidR="008517B1" w:rsidRPr="006E21A4" w:rsidRDefault="008517B1">
      <w:pPr>
        <w:pStyle w:val="a5"/>
        <w:spacing w:before="121" w:line="276" w:lineRule="auto"/>
        <w:ind w:right="363" w:firstLine="719"/>
        <w:jc w:val="both"/>
        <w:rPr>
          <w:lang w:val="ru-RU"/>
        </w:rPr>
      </w:pPr>
    </w:p>
    <w:p w:rsidR="008517B1" w:rsidRPr="00977A76" w:rsidRDefault="008517B1">
      <w:pPr>
        <w:pStyle w:val="Heading11"/>
        <w:spacing w:before="90" w:line="276" w:lineRule="auto"/>
        <w:ind w:right="199" w:firstLine="60"/>
        <w:rPr>
          <w:lang w:val="ru-RU"/>
        </w:rPr>
      </w:pPr>
      <w:r w:rsidRPr="00977A76">
        <w:rPr>
          <w:lang w:val="ru-RU"/>
        </w:rPr>
        <w:t>Определяне на подходящия (максимален) принос от ЕЗФРСР и националния бюджет.</w:t>
      </w:r>
    </w:p>
    <w:p w:rsidR="008517B1" w:rsidRPr="00977A76" w:rsidRDefault="008517B1">
      <w:pPr>
        <w:pStyle w:val="a5"/>
        <w:spacing w:before="118" w:line="276" w:lineRule="auto"/>
        <w:ind w:right="354" w:firstLine="719"/>
        <w:jc w:val="both"/>
        <w:rPr>
          <w:lang w:val="ru-RU"/>
        </w:rPr>
      </w:pPr>
      <w:r w:rsidRPr="00977A76">
        <w:rPr>
          <w:lang w:val="ru-RU"/>
        </w:rPr>
        <w:t>Максималния размер на финансиране се определя чрез изчисляване на Коефициента на Пропорционално разпределяне на Дисконтираните Нетни Приходи (</w:t>
      </w:r>
      <w:r>
        <w:t>Pro</w:t>
      </w:r>
      <w:r w:rsidRPr="00977A76">
        <w:rPr>
          <w:lang w:val="ru-RU"/>
        </w:rPr>
        <w:t>-</w:t>
      </w:r>
      <w:r>
        <w:t>Rata</w:t>
      </w:r>
      <w:r w:rsidRPr="00977A76">
        <w:rPr>
          <w:lang w:val="ru-RU"/>
        </w:rPr>
        <w:t>).</w:t>
      </w:r>
    </w:p>
    <w:p w:rsidR="008517B1" w:rsidRPr="00977A76" w:rsidRDefault="008517B1">
      <w:pPr>
        <w:pStyle w:val="a5"/>
        <w:spacing w:before="120" w:line="276" w:lineRule="auto"/>
        <w:ind w:right="353" w:firstLine="719"/>
        <w:jc w:val="both"/>
        <w:rPr>
          <w:lang w:val="ru-RU"/>
        </w:rPr>
      </w:pPr>
      <w:r w:rsidRPr="00977A76">
        <w:rPr>
          <w:lang w:val="ru-RU"/>
        </w:rPr>
        <w:t>Коефициентът на Пропорционално разпределяне на Дисконтираните Нетни Приходи представлява степента, в която проектът подлежи на финансиране от ЕЗФРСР и Националния бюджет в зависимост от генерираните нетни приходи.</w:t>
      </w:r>
    </w:p>
    <w:p w:rsidR="008517B1" w:rsidRPr="00977A76" w:rsidRDefault="008517B1">
      <w:pPr>
        <w:pStyle w:val="a5"/>
        <w:spacing w:before="120"/>
        <w:rPr>
          <w:lang w:val="ru-RU"/>
        </w:rPr>
      </w:pPr>
      <w:r w:rsidRPr="00977A76">
        <w:rPr>
          <w:lang w:val="ru-RU"/>
        </w:rPr>
        <w:t>Изчислява се по формулата:</w:t>
      </w:r>
    </w:p>
    <w:p w:rsidR="008517B1" w:rsidRPr="00977A76" w:rsidRDefault="008517B1">
      <w:pPr>
        <w:pStyle w:val="Heading11"/>
        <w:spacing w:before="165"/>
        <w:rPr>
          <w:lang w:val="ru-RU"/>
        </w:rPr>
      </w:pPr>
      <w:r>
        <w:t>Pro</w:t>
      </w:r>
      <w:r w:rsidRPr="00977A76">
        <w:rPr>
          <w:lang w:val="ru-RU"/>
        </w:rPr>
        <w:t>-</w:t>
      </w:r>
      <w:r>
        <w:t>Rata</w:t>
      </w:r>
      <w:r w:rsidRPr="00977A76">
        <w:rPr>
          <w:lang w:val="ru-RU"/>
        </w:rPr>
        <w:t xml:space="preserve"> = (</w:t>
      </w:r>
      <w:r>
        <w:t>DIC</w:t>
      </w:r>
      <w:r w:rsidRPr="00977A76">
        <w:rPr>
          <w:lang w:val="ru-RU"/>
        </w:rPr>
        <w:t>-</w:t>
      </w:r>
      <w:r>
        <w:t>DNR</w:t>
      </w:r>
      <w:r w:rsidRPr="00977A76">
        <w:rPr>
          <w:lang w:val="ru-RU"/>
        </w:rPr>
        <w:t>)/</w:t>
      </w:r>
      <w:r>
        <w:t>DIC</w:t>
      </w:r>
      <w:r w:rsidRPr="00977A76">
        <w:rPr>
          <w:lang w:val="ru-RU"/>
        </w:rPr>
        <w:t>)</w:t>
      </w:r>
    </w:p>
    <w:p w:rsidR="008517B1" w:rsidRDefault="008517B1" w:rsidP="005C3777">
      <w:pPr>
        <w:pStyle w:val="a5"/>
        <w:spacing w:before="158"/>
      </w:pPr>
      <w:r>
        <w:t>В процентно изражение.</w:t>
      </w:r>
    </w:p>
    <w:p w:rsidR="008517B1" w:rsidRDefault="008517B1" w:rsidP="005C3777">
      <w:pPr>
        <w:pStyle w:val="a5"/>
        <w:spacing w:before="158"/>
      </w:pPr>
    </w:p>
    <w:p w:rsidR="008517B1" w:rsidRDefault="00283A43" w:rsidP="005C3777">
      <w:pPr>
        <w:pStyle w:val="a5"/>
        <w:spacing w:before="158"/>
      </w:pPr>
      <w:r>
        <w:rPr>
          <w:spacing w:val="-49"/>
        </w:rPr>
      </w:r>
      <w:r>
        <w:rPr>
          <w:spacing w:val="-49"/>
        </w:rPr>
        <w:pict>
          <v:shape id="_x0000_s1053" type="#_x0000_t202" style="width:465pt;height:65.9pt;mso-left-percent:-10001;mso-top-percent:-10001;mso-position-horizontal:absolute;mso-position-horizontal-relative:char;mso-position-vertical:absolute;mso-position-vertical-relative:line;mso-left-percent:-10001;mso-top-percent:-10001" filled="f" strokeweight=".48pt">
            <v:textbox inset="0,0,0,0">
              <w:txbxContent>
                <w:p w:rsidR="008517B1" w:rsidRPr="00977A76" w:rsidRDefault="008517B1">
                  <w:pPr>
                    <w:spacing w:before="18" w:line="276" w:lineRule="auto"/>
                    <w:ind w:left="108" w:right="105" w:firstLine="566"/>
                    <w:jc w:val="both"/>
                    <w:rPr>
                      <w:b/>
                      <w:sz w:val="24"/>
                      <w:lang w:val="ru-RU"/>
                    </w:rPr>
                  </w:pPr>
                  <w:r w:rsidRPr="00977A76">
                    <w:rPr>
                      <w:b/>
                      <w:lang w:val="ru-RU"/>
                    </w:rPr>
                    <w:t xml:space="preserve">За проекти, които не генерират приходи и проекти, които не генерират нетни приходи (генерират приходи, но те не покриват напълно разходите) не е необходимо изчисляването на </w:t>
                  </w:r>
                  <w:r>
                    <w:rPr>
                      <w:b/>
                      <w:sz w:val="24"/>
                    </w:rPr>
                    <w:t>Pro</w:t>
                  </w:r>
                  <w:r w:rsidRPr="00977A76">
                    <w:rPr>
                      <w:b/>
                      <w:sz w:val="24"/>
                      <w:lang w:val="ru-RU"/>
                    </w:rPr>
                    <w:t>-</w:t>
                  </w:r>
                  <w:r>
                    <w:rPr>
                      <w:b/>
                      <w:sz w:val="24"/>
                    </w:rPr>
                    <w:t>Rata</w:t>
                  </w:r>
                  <w:r w:rsidRPr="00977A76">
                    <w:rPr>
                      <w:b/>
                      <w:sz w:val="24"/>
                      <w:lang w:val="ru-RU"/>
                    </w:rPr>
                    <w:t xml:space="preserve"> коефициент. В тези случаи процентът на финансиране на Допустимите инвестиционни разходи е равен на 100.</w:t>
                  </w:r>
                </w:p>
              </w:txbxContent>
            </v:textbox>
            <w10:anchorlock/>
          </v:shape>
        </w:pict>
      </w:r>
    </w:p>
    <w:p w:rsidR="008517B1" w:rsidRPr="00977A76" w:rsidRDefault="008517B1">
      <w:pPr>
        <w:pStyle w:val="Heading11"/>
        <w:numPr>
          <w:ilvl w:val="1"/>
          <w:numId w:val="3"/>
        </w:numPr>
        <w:tabs>
          <w:tab w:val="left" w:pos="662"/>
        </w:tabs>
        <w:spacing w:before="91"/>
        <w:ind w:firstLine="0"/>
        <w:rPr>
          <w:lang w:val="ru-RU"/>
        </w:rPr>
      </w:pPr>
      <w:r w:rsidRPr="00977A76">
        <w:rPr>
          <w:lang w:val="ru-RU"/>
        </w:rPr>
        <w:t>Изчисляване на стойността на Безвъзмездната Финансова</w:t>
      </w:r>
      <w:r w:rsidRPr="00977A76">
        <w:rPr>
          <w:spacing w:val="-8"/>
          <w:lang w:val="ru-RU"/>
        </w:rPr>
        <w:t xml:space="preserve"> </w:t>
      </w:r>
      <w:r w:rsidRPr="00977A76">
        <w:rPr>
          <w:lang w:val="ru-RU"/>
        </w:rPr>
        <w:t>Помощ</w:t>
      </w:r>
    </w:p>
    <w:p w:rsidR="008517B1" w:rsidRPr="00977A76" w:rsidRDefault="00283A43">
      <w:pPr>
        <w:pStyle w:val="a5"/>
        <w:spacing w:before="158" w:line="276" w:lineRule="auto"/>
        <w:ind w:right="352" w:firstLine="719"/>
        <w:jc w:val="both"/>
        <w:rPr>
          <w:lang w:val="ru-RU"/>
        </w:rPr>
      </w:pPr>
      <w:r>
        <w:rPr>
          <w:noProof/>
          <w:lang w:val="bg-BG" w:eastAsia="bg-BG"/>
        </w:rPr>
        <w:pict>
          <v:shape id="_x0000_s1037" type="#_x0000_t202" style="position:absolute;left:0;text-align:left;margin-left:65.2pt;margin-top:61.95pt;width:465pt;height:66.05pt;z-index:9;mso-wrap-distance-left:0;mso-wrap-distance-right:0;mso-position-horizontal-relative:page" filled="f" strokeweight=".48pt">
            <v:textbox inset="0,0,0,0">
              <w:txbxContent>
                <w:p w:rsidR="008517B1" w:rsidRPr="00977A76" w:rsidRDefault="008517B1">
                  <w:pPr>
                    <w:spacing w:before="18" w:line="276" w:lineRule="auto"/>
                    <w:ind w:left="108" w:right="102"/>
                    <w:jc w:val="both"/>
                    <w:rPr>
                      <w:b/>
                      <w:sz w:val="24"/>
                      <w:lang w:val="ru-RU"/>
                    </w:rPr>
                  </w:pPr>
                  <w:r w:rsidRPr="00977A76">
                    <w:rPr>
                      <w:b/>
                      <w:lang w:val="ru-RU"/>
                    </w:rPr>
                    <w:t>Разликата между пълния размер на допустимите за финансово подпомагане разходи и така определения размер на финансовата помощ, се осигурява от кандидата, като участието на кандидата може да бъде само в парична форма</w:t>
                  </w:r>
                  <w:r>
                    <w:rPr>
                      <w:b/>
                      <w:lang w:val="ru-RU"/>
                    </w:rPr>
                    <w:t>.</w:t>
                  </w:r>
                </w:p>
              </w:txbxContent>
            </v:textbox>
            <w10:wrap type="topAndBottom" anchorx="page"/>
          </v:shape>
        </w:pict>
      </w:r>
      <w:r w:rsidR="008517B1" w:rsidRPr="00977A76">
        <w:rPr>
          <w:lang w:val="ru-RU"/>
        </w:rPr>
        <w:t xml:space="preserve">Стойността на Безвъзмездната Финансова Помощ се изчислява като Стойността на </w:t>
      </w:r>
      <w:r w:rsidR="008517B1" w:rsidRPr="00977A76">
        <w:rPr>
          <w:b/>
          <w:lang w:val="ru-RU"/>
        </w:rPr>
        <w:t xml:space="preserve">Допустимите </w:t>
      </w:r>
      <w:r w:rsidR="008517B1" w:rsidRPr="00977A76">
        <w:rPr>
          <w:lang w:val="ru-RU"/>
        </w:rPr>
        <w:t>инвестиционни разходи (Е</w:t>
      </w:r>
      <w:r w:rsidR="008517B1">
        <w:t>EC</w:t>
      </w:r>
      <w:r w:rsidR="008517B1" w:rsidRPr="00977A76">
        <w:rPr>
          <w:lang w:val="ru-RU"/>
        </w:rPr>
        <w:t xml:space="preserve">) се умножи с </w:t>
      </w:r>
      <w:r w:rsidR="008517B1">
        <w:t>Pro</w:t>
      </w:r>
      <w:r w:rsidR="008517B1" w:rsidRPr="00977A76">
        <w:rPr>
          <w:lang w:val="ru-RU"/>
        </w:rPr>
        <w:t>-</w:t>
      </w:r>
      <w:r w:rsidR="008517B1">
        <w:t>Rata</w:t>
      </w:r>
      <w:r w:rsidR="008517B1" w:rsidRPr="00977A76">
        <w:rPr>
          <w:lang w:val="ru-RU"/>
        </w:rPr>
        <w:t xml:space="preserve"> коефициента (Е</w:t>
      </w:r>
      <w:r w:rsidR="008517B1">
        <w:t>EC</w:t>
      </w:r>
      <w:r w:rsidR="008517B1" w:rsidRPr="00977A76">
        <w:rPr>
          <w:lang w:val="ru-RU"/>
        </w:rPr>
        <w:t xml:space="preserve"> </w:t>
      </w:r>
      <w:r w:rsidR="008517B1">
        <w:t>x</w:t>
      </w:r>
      <w:r w:rsidR="008517B1" w:rsidRPr="00977A76">
        <w:rPr>
          <w:lang w:val="ru-RU"/>
        </w:rPr>
        <w:t xml:space="preserve"> </w:t>
      </w:r>
      <w:r w:rsidR="008517B1">
        <w:t>Pro</w:t>
      </w:r>
      <w:r w:rsidR="008517B1" w:rsidRPr="00977A76">
        <w:rPr>
          <w:lang w:val="ru-RU"/>
        </w:rPr>
        <w:t>-</w:t>
      </w:r>
      <w:r w:rsidR="008517B1">
        <w:t>Rata</w:t>
      </w:r>
      <w:r w:rsidR="008517B1" w:rsidRPr="00977A76">
        <w:rPr>
          <w:lang w:val="ru-RU"/>
        </w:rPr>
        <w:t>).</w:t>
      </w:r>
    </w:p>
    <w:p w:rsidR="008517B1" w:rsidRPr="00977A76" w:rsidRDefault="008517B1">
      <w:pPr>
        <w:pStyle w:val="a5"/>
        <w:spacing w:before="85" w:line="278" w:lineRule="auto"/>
        <w:ind w:right="351" w:firstLine="779"/>
        <w:jc w:val="both"/>
        <w:rPr>
          <w:lang w:val="ru-RU"/>
        </w:rPr>
      </w:pPr>
      <w:r w:rsidRPr="00977A76">
        <w:rPr>
          <w:lang w:val="ru-RU"/>
        </w:rPr>
        <w:lastRenderedPageBreak/>
        <w:t>След това участието на ЕЗФРСР и Националния бюджет може да бъде определено като резултатът се умножи съответно с 85% и 15%.</w:t>
      </w:r>
    </w:p>
    <w:p w:rsidR="008517B1" w:rsidRPr="006E21A4" w:rsidRDefault="008517B1">
      <w:pPr>
        <w:pStyle w:val="a5"/>
        <w:spacing w:before="7"/>
        <w:ind w:left="0"/>
        <w:rPr>
          <w:sz w:val="22"/>
          <w:lang w:val="ru-RU"/>
        </w:rPr>
      </w:pPr>
    </w:p>
    <w:p w:rsidR="008517B1" w:rsidRPr="006E21A4" w:rsidRDefault="008517B1">
      <w:pPr>
        <w:pStyle w:val="a5"/>
        <w:spacing w:before="7"/>
        <w:ind w:left="0"/>
        <w:rPr>
          <w:sz w:val="22"/>
          <w:lang w:val="ru-RU"/>
        </w:rPr>
      </w:pPr>
    </w:p>
    <w:p w:rsidR="008517B1" w:rsidRPr="00977A76" w:rsidRDefault="008517B1">
      <w:pPr>
        <w:pStyle w:val="Heading11"/>
        <w:spacing w:before="1"/>
        <w:rPr>
          <w:lang w:val="ru-RU"/>
        </w:rPr>
      </w:pPr>
      <w:r w:rsidRPr="00977A76">
        <w:rPr>
          <w:lang w:val="ru-RU"/>
        </w:rPr>
        <w:t>3.7.Оценка на финансовата рентабилност на инвестицията.</w:t>
      </w:r>
    </w:p>
    <w:p w:rsidR="008517B1" w:rsidRPr="00977A76" w:rsidRDefault="008517B1">
      <w:pPr>
        <w:pStyle w:val="a5"/>
        <w:spacing w:before="156" w:line="276" w:lineRule="auto"/>
        <w:ind w:right="350" w:firstLine="719"/>
        <w:jc w:val="both"/>
        <w:rPr>
          <w:lang w:val="ru-RU"/>
        </w:rPr>
      </w:pPr>
      <w:r w:rsidRPr="00977A76">
        <w:rPr>
          <w:b/>
          <w:lang w:val="ru-RU"/>
        </w:rPr>
        <w:t xml:space="preserve">Финансовата рентабилност на инвестицията </w:t>
      </w:r>
      <w:r w:rsidRPr="00977A76">
        <w:rPr>
          <w:lang w:val="ru-RU"/>
        </w:rPr>
        <w:t>се оценява посредством изчисляване на Финансовата Нетна Настояща Стойност (</w:t>
      </w:r>
      <w:r>
        <w:t>FNPV</w:t>
      </w:r>
      <w:r w:rsidRPr="00977A76">
        <w:rPr>
          <w:lang w:val="ru-RU"/>
        </w:rPr>
        <w:t>(</w:t>
      </w:r>
      <w:r>
        <w:t>C</w:t>
      </w:r>
      <w:r w:rsidRPr="00977A76">
        <w:rPr>
          <w:lang w:val="ru-RU"/>
        </w:rPr>
        <w:t>)) и Финансовата Норма на Възвръщаемост на инвестицията (</w:t>
      </w:r>
      <w:r>
        <w:t>FRR</w:t>
      </w:r>
      <w:r w:rsidRPr="00977A76">
        <w:rPr>
          <w:lang w:val="ru-RU"/>
        </w:rPr>
        <w:t>(</w:t>
      </w:r>
      <w:r>
        <w:t>C</w:t>
      </w:r>
      <w:r w:rsidRPr="00977A76">
        <w:rPr>
          <w:lang w:val="ru-RU"/>
        </w:rPr>
        <w:t>)). Тези показатели сравняват инвестиционните разходи с нетните приходи и измерват степента, в която нетните приходи на проекта са в състояние да изплатят инвестицията. Лихвените плащания не се включват в изчислението на</w:t>
      </w:r>
      <w:r w:rsidRPr="00977A76">
        <w:rPr>
          <w:spacing w:val="-4"/>
          <w:lang w:val="ru-RU"/>
        </w:rPr>
        <w:t xml:space="preserve"> </w:t>
      </w:r>
      <w:r>
        <w:t>FNPV</w:t>
      </w:r>
      <w:r w:rsidRPr="00977A76">
        <w:rPr>
          <w:lang w:val="ru-RU"/>
        </w:rPr>
        <w:t>(</w:t>
      </w:r>
      <w:r>
        <w:t>C</w:t>
      </w:r>
      <w:r w:rsidRPr="00977A76">
        <w:rPr>
          <w:lang w:val="ru-RU"/>
        </w:rPr>
        <w:t>).</w:t>
      </w:r>
    </w:p>
    <w:p w:rsidR="008517B1" w:rsidRPr="00977A76" w:rsidRDefault="008517B1">
      <w:pPr>
        <w:pStyle w:val="a5"/>
        <w:spacing w:before="120" w:line="276" w:lineRule="auto"/>
        <w:ind w:right="353" w:firstLine="719"/>
        <w:jc w:val="both"/>
        <w:rPr>
          <w:lang w:val="ru-RU"/>
        </w:rPr>
      </w:pPr>
      <w:r w:rsidRPr="00977A76">
        <w:rPr>
          <w:lang w:val="ru-RU"/>
        </w:rPr>
        <w:t>Целта е да се докаже необходимостта от финансиране на проекта от ЕЗФРСР и Националния Бюджет, чрез изчисляване на Финансова Нетна Настояща Стойност (</w:t>
      </w:r>
      <w:r>
        <w:t>FNPV</w:t>
      </w:r>
      <w:r w:rsidRPr="00977A76">
        <w:rPr>
          <w:lang w:val="ru-RU"/>
        </w:rPr>
        <w:t>(</w:t>
      </w:r>
      <w:r>
        <w:t>C</w:t>
      </w:r>
      <w:r w:rsidRPr="00977A76">
        <w:rPr>
          <w:lang w:val="ru-RU"/>
        </w:rPr>
        <w:t>)) и Финансова Норма на Възвръщаемост на инвестицията (</w:t>
      </w:r>
      <w:r>
        <w:t>FRR</w:t>
      </w:r>
      <w:r w:rsidRPr="00977A76">
        <w:rPr>
          <w:lang w:val="ru-RU"/>
        </w:rPr>
        <w:t>(</w:t>
      </w:r>
      <w:r>
        <w:t>C</w:t>
      </w:r>
      <w:r w:rsidRPr="00977A76">
        <w:rPr>
          <w:lang w:val="ru-RU"/>
        </w:rPr>
        <w:t>)) преди получаването на финансиране от ЕЗФРСР и Националния Бюджет.</w:t>
      </w:r>
    </w:p>
    <w:p w:rsidR="008517B1" w:rsidRPr="00977A76" w:rsidRDefault="00283A43">
      <w:pPr>
        <w:pStyle w:val="a5"/>
        <w:spacing w:before="122" w:line="276" w:lineRule="auto"/>
        <w:ind w:right="356" w:firstLine="566"/>
        <w:jc w:val="both"/>
        <w:rPr>
          <w:lang w:val="ru-RU"/>
        </w:rPr>
      </w:pPr>
      <w:r>
        <w:rPr>
          <w:noProof/>
          <w:lang w:val="bg-BG" w:eastAsia="bg-BG"/>
        </w:rPr>
        <w:pict>
          <v:shape id="image2.png" o:spid="_x0000_s1038" type="#_x0000_t75" style="position:absolute;left:0;text-align:left;margin-left:99.15pt;margin-top:75.75pt;width:380.05pt;height:43.65pt;z-index:10;visibility:visible;mso-wrap-distance-left:0;mso-wrap-distance-right:0;mso-position-horizontal-relative:page">
            <v:imagedata r:id="rId9" o:title=""/>
            <w10:wrap type="topAndBottom" anchorx="page"/>
          </v:shape>
        </w:pict>
      </w:r>
      <w:r w:rsidR="008517B1" w:rsidRPr="00977A76">
        <w:rPr>
          <w:lang w:val="ru-RU"/>
        </w:rPr>
        <w:t>Финансова Нетна Настояща Стойност на инвестицията (</w:t>
      </w:r>
      <w:r w:rsidR="008517B1">
        <w:t>FNPV</w:t>
      </w:r>
      <w:r w:rsidR="008517B1" w:rsidRPr="00977A76">
        <w:rPr>
          <w:lang w:val="ru-RU"/>
        </w:rPr>
        <w:t>(</w:t>
      </w:r>
      <w:r w:rsidR="008517B1">
        <w:t>C</w:t>
      </w:r>
      <w:r w:rsidR="008517B1" w:rsidRPr="00977A76">
        <w:rPr>
          <w:lang w:val="ru-RU"/>
        </w:rPr>
        <w:t>)) е сумата, която се получава, когато очакваните инвестиционни и оперативни разходи, както и разходи за подмяна по проекта (дисконтирани) се приспаднат от дисконтираната стойност на очакваните приходи.</w:t>
      </w:r>
    </w:p>
    <w:p w:rsidR="008517B1" w:rsidRPr="006E21A4" w:rsidRDefault="008517B1">
      <w:pPr>
        <w:pStyle w:val="a5"/>
        <w:spacing w:before="129" w:after="124" w:line="276" w:lineRule="auto"/>
        <w:ind w:right="353" w:firstLine="566"/>
        <w:jc w:val="both"/>
        <w:rPr>
          <w:lang w:val="ru-RU"/>
        </w:rPr>
      </w:pPr>
    </w:p>
    <w:p w:rsidR="008517B1" w:rsidRPr="006E21A4" w:rsidRDefault="008517B1">
      <w:pPr>
        <w:pStyle w:val="a5"/>
        <w:spacing w:before="129" w:after="124" w:line="276" w:lineRule="auto"/>
        <w:ind w:right="353" w:firstLine="566"/>
        <w:jc w:val="both"/>
        <w:rPr>
          <w:lang w:val="ru-RU"/>
        </w:rPr>
      </w:pPr>
    </w:p>
    <w:p w:rsidR="008517B1" w:rsidRPr="006E21A4" w:rsidRDefault="008517B1">
      <w:pPr>
        <w:pStyle w:val="a5"/>
        <w:spacing w:before="129" w:after="124" w:line="276" w:lineRule="auto"/>
        <w:ind w:right="353" w:firstLine="566"/>
        <w:jc w:val="both"/>
        <w:rPr>
          <w:lang w:val="ru-RU"/>
        </w:rPr>
      </w:pPr>
    </w:p>
    <w:p w:rsidR="008517B1" w:rsidRPr="00977A76" w:rsidRDefault="008517B1">
      <w:pPr>
        <w:pStyle w:val="a5"/>
        <w:spacing w:before="129" w:after="124" w:line="276" w:lineRule="auto"/>
        <w:ind w:right="353" w:firstLine="566"/>
        <w:jc w:val="both"/>
        <w:rPr>
          <w:lang w:val="ru-RU"/>
        </w:rPr>
      </w:pPr>
      <w:r w:rsidRPr="00977A76">
        <w:rPr>
          <w:lang w:val="ru-RU"/>
        </w:rPr>
        <w:t>Финансовата норма на възвръщаемост (</w:t>
      </w:r>
      <w:r>
        <w:t>FRR</w:t>
      </w:r>
      <w:r w:rsidRPr="00977A76">
        <w:rPr>
          <w:lang w:val="ru-RU"/>
        </w:rPr>
        <w:t>(</w:t>
      </w:r>
      <w:r>
        <w:t>C</w:t>
      </w:r>
      <w:r w:rsidRPr="00977A76">
        <w:rPr>
          <w:lang w:val="ru-RU"/>
        </w:rPr>
        <w:t>)) е дисконтовият процент, който води до нулева стойност на Финансовата Нетна Настояща Стойност на инвестицията (</w:t>
      </w:r>
      <w:r>
        <w:t>FNPV</w:t>
      </w:r>
      <w:r w:rsidRPr="00977A76">
        <w:rPr>
          <w:lang w:val="ru-RU"/>
        </w:rPr>
        <w:t>(</w:t>
      </w:r>
      <w:r>
        <w:t>C</w:t>
      </w:r>
      <w:r w:rsidRPr="00977A76">
        <w:rPr>
          <w:lang w:val="ru-RU"/>
        </w:rPr>
        <w:t>)).</w:t>
      </w:r>
    </w:p>
    <w:p w:rsidR="008517B1" w:rsidRDefault="00283A43">
      <w:pPr>
        <w:pStyle w:val="a5"/>
        <w:ind w:left="802"/>
      </w:pPr>
      <w:r>
        <w:rPr>
          <w:noProof/>
          <w:lang w:val="bg-BG" w:eastAsia="bg-BG"/>
        </w:rPr>
        <w:pict>
          <v:shape id="image3.png" o:spid="_x0000_i1027" type="#_x0000_t75" style="width:101.25pt;height:35.25pt;visibility:visible">
            <v:imagedata r:id="rId10" o:title=""/>
          </v:shape>
        </w:pict>
      </w:r>
    </w:p>
    <w:p w:rsidR="008517B1" w:rsidRPr="00977A76" w:rsidRDefault="00283A43">
      <w:pPr>
        <w:pStyle w:val="a5"/>
        <w:spacing w:before="79" w:line="276" w:lineRule="auto"/>
        <w:rPr>
          <w:lang w:val="ru-RU"/>
        </w:rPr>
      </w:pPr>
      <w:r>
        <w:rPr>
          <w:noProof/>
          <w:lang w:val="bg-BG" w:eastAsia="bg-BG"/>
        </w:rPr>
        <w:pict>
          <v:shape id="_x0000_s1039" type="#_x0000_t202" style="position:absolute;left:0;text-align:left;margin-left:65.2pt;margin-top:42.15pt;width:465pt;height:50.2pt;z-index:11;mso-wrap-distance-left:0;mso-wrap-distance-right:0;mso-position-horizontal-relative:page" filled="f" strokeweight=".48pt">
            <v:textbox inset="0,0,0,0">
              <w:txbxContent>
                <w:p w:rsidR="008517B1" w:rsidRPr="00977A76" w:rsidRDefault="008517B1">
                  <w:pPr>
                    <w:spacing w:before="18" w:line="276" w:lineRule="auto"/>
                    <w:ind w:left="108" w:right="102"/>
                    <w:jc w:val="both"/>
                    <w:rPr>
                      <w:b/>
                      <w:sz w:val="24"/>
                      <w:lang w:val="ru-RU"/>
                    </w:rPr>
                  </w:pPr>
                  <w:r w:rsidRPr="00977A76">
                    <w:rPr>
                      <w:b/>
                      <w:lang w:val="ru-RU"/>
                    </w:rPr>
                    <w:t xml:space="preserve">За да получи един проект финансиране от ЕЗФРСР и Националния Бюджет, </w:t>
                  </w:r>
                  <w:r>
                    <w:rPr>
                      <w:b/>
                      <w:sz w:val="24"/>
                    </w:rPr>
                    <w:t>FNPV</w:t>
                  </w:r>
                  <w:r w:rsidRPr="00977A76">
                    <w:rPr>
                      <w:b/>
                      <w:sz w:val="24"/>
                      <w:lang w:val="ru-RU"/>
                    </w:rPr>
                    <w:t>(</w:t>
                  </w:r>
                  <w:r>
                    <w:rPr>
                      <w:b/>
                      <w:sz w:val="24"/>
                    </w:rPr>
                    <w:t>C</w:t>
                  </w:r>
                  <w:r w:rsidRPr="00977A76">
                    <w:rPr>
                      <w:b/>
                      <w:sz w:val="24"/>
                      <w:lang w:val="ru-RU"/>
                    </w:rPr>
                    <w:t xml:space="preserve">) на инвестицията следва да бъде отрицателна, а </w:t>
                  </w:r>
                  <w:r>
                    <w:rPr>
                      <w:b/>
                      <w:sz w:val="24"/>
                    </w:rPr>
                    <w:t>FRR</w:t>
                  </w:r>
                  <w:r w:rsidRPr="00977A76">
                    <w:rPr>
                      <w:b/>
                      <w:sz w:val="24"/>
                      <w:lang w:val="ru-RU"/>
                    </w:rPr>
                    <w:t>(</w:t>
                  </w:r>
                  <w:r>
                    <w:rPr>
                      <w:b/>
                      <w:sz w:val="24"/>
                    </w:rPr>
                    <w:t>C</w:t>
                  </w:r>
                  <w:r w:rsidRPr="00977A76">
                    <w:rPr>
                      <w:b/>
                      <w:sz w:val="24"/>
                      <w:lang w:val="ru-RU"/>
                    </w:rPr>
                    <w:t>) следва да е по- малка от използваната за анализа дисконтова норма.</w:t>
                  </w:r>
                </w:p>
              </w:txbxContent>
            </v:textbox>
            <w10:wrap type="topAndBottom" anchorx="page"/>
          </v:shape>
        </w:pict>
      </w:r>
      <w:r w:rsidR="008517B1" w:rsidRPr="00977A76">
        <w:rPr>
          <w:lang w:val="ru-RU"/>
        </w:rPr>
        <w:t xml:space="preserve">където </w:t>
      </w:r>
      <w:r w:rsidR="008517B1">
        <w:rPr>
          <w:i/>
        </w:rPr>
        <w:t>S</w:t>
      </w:r>
      <w:r w:rsidR="008517B1">
        <w:rPr>
          <w:i/>
          <w:vertAlign w:val="subscript"/>
        </w:rPr>
        <w:t>t</w:t>
      </w:r>
      <w:r w:rsidR="008517B1" w:rsidRPr="00977A76">
        <w:rPr>
          <w:i/>
          <w:lang w:val="ru-RU"/>
        </w:rPr>
        <w:t xml:space="preserve"> </w:t>
      </w:r>
      <w:r w:rsidR="008517B1" w:rsidRPr="00977A76">
        <w:rPr>
          <w:lang w:val="ru-RU"/>
        </w:rPr>
        <w:t xml:space="preserve">е балансът на паричния поток за време </w:t>
      </w:r>
      <w:r w:rsidR="008517B1">
        <w:rPr>
          <w:i/>
        </w:rPr>
        <w:t>t</w:t>
      </w:r>
      <w:r w:rsidR="008517B1" w:rsidRPr="00977A76">
        <w:rPr>
          <w:lang w:val="ru-RU"/>
        </w:rPr>
        <w:t xml:space="preserve">, а </w:t>
      </w:r>
      <w:r w:rsidR="008517B1">
        <w:rPr>
          <w:i/>
        </w:rPr>
        <w:t>a</w:t>
      </w:r>
      <w:r w:rsidR="008517B1">
        <w:rPr>
          <w:i/>
          <w:vertAlign w:val="subscript"/>
        </w:rPr>
        <w:t>t</w:t>
      </w:r>
      <w:r w:rsidR="008517B1" w:rsidRPr="00977A76">
        <w:rPr>
          <w:i/>
          <w:lang w:val="ru-RU"/>
        </w:rPr>
        <w:t xml:space="preserve"> </w:t>
      </w:r>
      <w:r w:rsidR="008517B1" w:rsidRPr="00977A76">
        <w:rPr>
          <w:lang w:val="ru-RU"/>
        </w:rPr>
        <w:t xml:space="preserve">е дисконтовата норма, избрана за дисконтиране за време </w:t>
      </w:r>
      <w:r w:rsidR="008517B1">
        <w:rPr>
          <w:i/>
        </w:rPr>
        <w:t>t</w:t>
      </w:r>
      <w:r w:rsidR="008517B1" w:rsidRPr="00977A76">
        <w:rPr>
          <w:lang w:val="ru-RU"/>
        </w:rPr>
        <w:t xml:space="preserve">; </w:t>
      </w:r>
      <w:r w:rsidR="008517B1">
        <w:rPr>
          <w:i/>
        </w:rPr>
        <w:t>i</w:t>
      </w:r>
      <w:r w:rsidR="008517B1" w:rsidRPr="00977A76">
        <w:rPr>
          <w:i/>
          <w:lang w:val="ru-RU"/>
        </w:rPr>
        <w:t xml:space="preserve"> </w:t>
      </w:r>
      <w:r w:rsidR="008517B1" w:rsidRPr="00977A76">
        <w:rPr>
          <w:lang w:val="ru-RU"/>
        </w:rPr>
        <w:t>е дисконтовият процент.</w:t>
      </w:r>
    </w:p>
    <w:p w:rsidR="008517B1" w:rsidRPr="00977A76" w:rsidRDefault="008517B1">
      <w:pPr>
        <w:pStyle w:val="Heading11"/>
        <w:spacing w:before="90"/>
        <w:rPr>
          <w:lang w:val="ru-RU"/>
        </w:rPr>
      </w:pPr>
      <w:r w:rsidRPr="00977A76">
        <w:rPr>
          <w:lang w:val="ru-RU"/>
        </w:rPr>
        <w:t>3.8. Оценка на финансовата рентабилност на националния капитал</w:t>
      </w:r>
    </w:p>
    <w:p w:rsidR="008517B1" w:rsidRPr="00977A76" w:rsidRDefault="008517B1">
      <w:pPr>
        <w:pStyle w:val="a5"/>
        <w:spacing w:before="156" w:line="276" w:lineRule="auto"/>
        <w:ind w:right="363" w:firstLine="719"/>
        <w:jc w:val="both"/>
        <w:rPr>
          <w:lang w:val="ru-RU"/>
        </w:rPr>
      </w:pPr>
      <w:r w:rsidRPr="00977A76">
        <w:rPr>
          <w:lang w:val="ru-RU"/>
        </w:rPr>
        <w:t xml:space="preserve">Целта на изчисляването на възвръщаемостта от Националния капитал е да се изследва представянето на проекта от гледна точка на подпомогнатите публични и частни юридически лица </w:t>
      </w:r>
      <w:r w:rsidRPr="00977A76">
        <w:rPr>
          <w:b/>
          <w:lang w:val="ru-RU"/>
        </w:rPr>
        <w:t>след получаването на субсидия</w:t>
      </w:r>
      <w:r w:rsidRPr="00977A76">
        <w:rPr>
          <w:lang w:val="ru-RU"/>
        </w:rPr>
        <w:t>.</w:t>
      </w:r>
    </w:p>
    <w:p w:rsidR="008517B1" w:rsidRPr="00977A76" w:rsidRDefault="008517B1">
      <w:pPr>
        <w:pStyle w:val="a5"/>
        <w:spacing w:before="124" w:line="276" w:lineRule="auto"/>
        <w:ind w:right="354" w:firstLine="719"/>
        <w:jc w:val="both"/>
        <w:rPr>
          <w:lang w:val="ru-RU"/>
        </w:rPr>
      </w:pPr>
      <w:r w:rsidRPr="00977A76">
        <w:rPr>
          <w:lang w:val="ru-RU"/>
        </w:rPr>
        <w:t xml:space="preserve">Финансовата рентабилност на </w:t>
      </w:r>
      <w:r w:rsidRPr="00977A76">
        <w:rPr>
          <w:b/>
          <w:lang w:val="ru-RU"/>
        </w:rPr>
        <w:t xml:space="preserve">националния капитал </w:t>
      </w:r>
      <w:r w:rsidRPr="00977A76">
        <w:rPr>
          <w:lang w:val="ru-RU"/>
        </w:rPr>
        <w:t>се оценява посредством изчисляване на Нетната Настояща Финансова Стойност (</w:t>
      </w:r>
      <w:r>
        <w:rPr>
          <w:b/>
        </w:rPr>
        <w:t>FNPV</w:t>
      </w:r>
      <w:r w:rsidRPr="00977A76">
        <w:rPr>
          <w:b/>
          <w:lang w:val="ru-RU"/>
        </w:rPr>
        <w:t xml:space="preserve"> (</w:t>
      </w:r>
      <w:r>
        <w:rPr>
          <w:b/>
        </w:rPr>
        <w:t>K</w:t>
      </w:r>
      <w:r w:rsidRPr="00977A76">
        <w:rPr>
          <w:b/>
          <w:lang w:val="ru-RU"/>
        </w:rPr>
        <w:t xml:space="preserve">)) </w:t>
      </w:r>
      <w:r w:rsidRPr="00977A76">
        <w:rPr>
          <w:lang w:val="ru-RU"/>
        </w:rPr>
        <w:t xml:space="preserve">и Финансовата Норма на Възвръщаемост на </w:t>
      </w:r>
      <w:r w:rsidRPr="00977A76">
        <w:rPr>
          <w:b/>
          <w:lang w:val="ru-RU"/>
        </w:rPr>
        <w:t xml:space="preserve">националния капитал </w:t>
      </w:r>
      <w:r w:rsidRPr="00977A76">
        <w:rPr>
          <w:lang w:val="ru-RU"/>
        </w:rPr>
        <w:t xml:space="preserve">( </w:t>
      </w:r>
      <w:r>
        <w:rPr>
          <w:b/>
        </w:rPr>
        <w:t>FRR</w:t>
      </w:r>
      <w:r w:rsidRPr="00977A76">
        <w:rPr>
          <w:b/>
          <w:lang w:val="ru-RU"/>
        </w:rPr>
        <w:t xml:space="preserve"> (</w:t>
      </w:r>
      <w:r>
        <w:rPr>
          <w:b/>
        </w:rPr>
        <w:t>K</w:t>
      </w:r>
      <w:r w:rsidRPr="00977A76">
        <w:rPr>
          <w:b/>
          <w:lang w:val="ru-RU"/>
        </w:rPr>
        <w:t>)</w:t>
      </w:r>
      <w:r w:rsidRPr="00977A76">
        <w:rPr>
          <w:lang w:val="ru-RU"/>
        </w:rPr>
        <w:t>). Тези показатели измерват степента, в която нетните приходи на проекта са в състояние да изплащат финансовите средства, предоставени от националните фондове.</w:t>
      </w:r>
    </w:p>
    <w:p w:rsidR="008517B1" w:rsidRPr="00977A76" w:rsidRDefault="008517B1" w:rsidP="005C3777">
      <w:pPr>
        <w:spacing w:before="121"/>
        <w:ind w:left="956"/>
        <w:rPr>
          <w:lang w:val="ru-RU"/>
        </w:rPr>
      </w:pPr>
      <w:r w:rsidRPr="00977A76">
        <w:rPr>
          <w:sz w:val="24"/>
          <w:lang w:val="ru-RU"/>
        </w:rPr>
        <w:t xml:space="preserve">При изчисляването на </w:t>
      </w:r>
      <w:r>
        <w:rPr>
          <w:b/>
          <w:sz w:val="24"/>
        </w:rPr>
        <w:t>FNPV</w:t>
      </w:r>
      <w:r w:rsidRPr="00977A76">
        <w:rPr>
          <w:b/>
          <w:sz w:val="24"/>
          <w:lang w:val="ru-RU"/>
        </w:rPr>
        <w:t xml:space="preserve"> (</w:t>
      </w:r>
      <w:r>
        <w:rPr>
          <w:b/>
          <w:sz w:val="24"/>
        </w:rPr>
        <w:t>K</w:t>
      </w:r>
      <w:r w:rsidRPr="00977A76">
        <w:rPr>
          <w:b/>
          <w:sz w:val="24"/>
          <w:lang w:val="ru-RU"/>
        </w:rPr>
        <w:t xml:space="preserve">) и </w:t>
      </w:r>
      <w:r>
        <w:rPr>
          <w:b/>
          <w:sz w:val="24"/>
        </w:rPr>
        <w:t>FRR</w:t>
      </w:r>
      <w:r w:rsidRPr="00977A76">
        <w:rPr>
          <w:b/>
          <w:sz w:val="24"/>
          <w:lang w:val="ru-RU"/>
        </w:rPr>
        <w:t xml:space="preserve"> (</w:t>
      </w:r>
      <w:r>
        <w:rPr>
          <w:b/>
          <w:sz w:val="24"/>
        </w:rPr>
        <w:t>K</w:t>
      </w:r>
      <w:r w:rsidRPr="00977A76">
        <w:rPr>
          <w:b/>
          <w:sz w:val="24"/>
          <w:lang w:val="ru-RU"/>
        </w:rPr>
        <w:t>)</w:t>
      </w:r>
      <w:r w:rsidRPr="00977A76">
        <w:rPr>
          <w:sz w:val="24"/>
          <w:lang w:val="ru-RU"/>
        </w:rPr>
        <w:t>) се изисква следното:</w:t>
      </w:r>
    </w:p>
    <w:p w:rsidR="008517B1" w:rsidRPr="00977A76" w:rsidRDefault="008517B1" w:rsidP="005C3777">
      <w:pPr>
        <w:pStyle w:val="a5"/>
        <w:spacing w:line="276" w:lineRule="auto"/>
        <w:ind w:left="476" w:right="115"/>
        <w:jc w:val="both"/>
        <w:rPr>
          <w:sz w:val="31"/>
          <w:lang w:val="ru-RU"/>
        </w:rPr>
      </w:pPr>
      <w:r w:rsidRPr="00977A76">
        <w:rPr>
          <w:lang w:val="ru-RU"/>
        </w:rPr>
        <w:lastRenderedPageBreak/>
        <w:t xml:space="preserve">— При изчисляването на </w:t>
      </w:r>
      <w:r>
        <w:t>FNPV</w:t>
      </w:r>
      <w:r w:rsidRPr="00977A76">
        <w:rPr>
          <w:lang w:val="ru-RU"/>
        </w:rPr>
        <w:t xml:space="preserve"> (</w:t>
      </w:r>
      <w:r>
        <w:t>K</w:t>
      </w:r>
      <w:r w:rsidRPr="00977A76">
        <w:rPr>
          <w:lang w:val="ru-RU"/>
        </w:rPr>
        <w:t xml:space="preserve">) и </w:t>
      </w:r>
      <w:r>
        <w:t>FRR</w:t>
      </w:r>
      <w:r w:rsidRPr="00977A76">
        <w:rPr>
          <w:lang w:val="ru-RU"/>
        </w:rPr>
        <w:t xml:space="preserve"> (</w:t>
      </w:r>
      <w:r>
        <w:t>K</w:t>
      </w:r>
      <w:r w:rsidRPr="00977A76">
        <w:rPr>
          <w:lang w:val="ru-RU"/>
        </w:rPr>
        <w:t>) се вземат предвид всички източници на финансиране с изключение на вноската от ЕЗФРСР. Тези източници се вземат като изходящи парични потоци (те са входящи в анализа на устойчивостта), вместо инвестиционните разходи (тъй като те представляват част от изчисляването на финансовата възвръщаемост от инвестицията);</w:t>
      </w:r>
    </w:p>
    <w:p w:rsidR="008517B1" w:rsidRPr="00977A76" w:rsidRDefault="008517B1" w:rsidP="005C3777">
      <w:pPr>
        <w:pStyle w:val="a5"/>
        <w:spacing w:line="278" w:lineRule="auto"/>
        <w:ind w:left="716" w:hanging="240"/>
        <w:rPr>
          <w:sz w:val="31"/>
          <w:lang w:val="ru-RU"/>
        </w:rPr>
      </w:pPr>
      <w:r w:rsidRPr="00977A76">
        <w:rPr>
          <w:lang w:val="ru-RU"/>
        </w:rPr>
        <w:t>—капиталовият принос се оценява към момента на действителното му изплащане за проекта или възстановяването му (в случаите на заеми);</w:t>
      </w:r>
    </w:p>
    <w:p w:rsidR="008517B1" w:rsidRPr="00977A76" w:rsidRDefault="008517B1" w:rsidP="005C3777">
      <w:pPr>
        <w:pStyle w:val="a5"/>
        <w:spacing w:line="276" w:lineRule="auto"/>
        <w:ind w:left="716" w:hanging="240"/>
        <w:rPr>
          <w:b/>
          <w:sz w:val="31"/>
          <w:lang w:val="ru-RU"/>
        </w:rPr>
      </w:pPr>
      <w:r w:rsidRPr="00977A76">
        <w:rPr>
          <w:lang w:val="ru-RU"/>
        </w:rPr>
        <w:t>—лихвените плащания са включени в таблицата за анализ на възвръщаемостта на собствения капитал (</w:t>
      </w:r>
      <w:r>
        <w:rPr>
          <w:b/>
        </w:rPr>
        <w:t>FNPV</w:t>
      </w:r>
      <w:r w:rsidRPr="00977A76">
        <w:rPr>
          <w:b/>
          <w:lang w:val="ru-RU"/>
        </w:rPr>
        <w:t xml:space="preserve"> (</w:t>
      </w:r>
      <w:r>
        <w:rPr>
          <w:b/>
        </w:rPr>
        <w:t>K</w:t>
      </w:r>
      <w:r w:rsidRPr="00977A76">
        <w:rPr>
          <w:b/>
          <w:lang w:val="ru-RU"/>
        </w:rPr>
        <w:t>));</w:t>
      </w:r>
    </w:p>
    <w:p w:rsidR="008517B1" w:rsidRPr="008312E0" w:rsidRDefault="008517B1">
      <w:pPr>
        <w:pStyle w:val="a5"/>
        <w:spacing w:line="276" w:lineRule="auto"/>
        <w:ind w:left="716" w:right="199" w:hanging="240"/>
        <w:rPr>
          <w:b/>
          <w:lang w:val="ru-RU"/>
        </w:rPr>
      </w:pPr>
      <w:r w:rsidRPr="00977A76">
        <w:rPr>
          <w:lang w:val="ru-RU"/>
        </w:rPr>
        <w:t>—субсидиите за покриване на оперативни разходи не се включват в таблицата за анализ на възвръщаемостта на капитала (</w:t>
      </w:r>
      <w:r>
        <w:rPr>
          <w:b/>
        </w:rPr>
        <w:t>FNPV</w:t>
      </w:r>
      <w:r w:rsidRPr="00977A76">
        <w:rPr>
          <w:b/>
          <w:spacing w:val="-7"/>
          <w:lang w:val="ru-RU"/>
        </w:rPr>
        <w:t xml:space="preserve"> </w:t>
      </w:r>
      <w:r w:rsidRPr="00977A76">
        <w:rPr>
          <w:b/>
          <w:lang w:val="ru-RU"/>
        </w:rPr>
        <w:t>(</w:t>
      </w:r>
      <w:r>
        <w:rPr>
          <w:b/>
        </w:rPr>
        <w:t>K</w:t>
      </w:r>
      <w:r w:rsidRPr="00977A76">
        <w:rPr>
          <w:b/>
          <w:lang w:val="ru-RU"/>
        </w:rPr>
        <w:t>)).</w:t>
      </w:r>
    </w:p>
    <w:p w:rsidR="008517B1" w:rsidRPr="008312E0" w:rsidRDefault="008517B1">
      <w:pPr>
        <w:pStyle w:val="a5"/>
        <w:spacing w:line="276" w:lineRule="auto"/>
        <w:ind w:left="716" w:right="199" w:hanging="240"/>
        <w:rPr>
          <w:b/>
          <w:lang w:val="ru-RU"/>
        </w:rPr>
      </w:pPr>
    </w:p>
    <w:p w:rsidR="008517B1" w:rsidRPr="00977A76" w:rsidRDefault="00283A43">
      <w:pPr>
        <w:pStyle w:val="a5"/>
        <w:spacing w:before="2"/>
        <w:ind w:left="0"/>
        <w:rPr>
          <w:b/>
          <w:sz w:val="18"/>
          <w:lang w:val="ru-RU"/>
        </w:rPr>
      </w:pPr>
      <w:r>
        <w:rPr>
          <w:noProof/>
          <w:lang w:val="bg-BG" w:eastAsia="bg-BG"/>
        </w:rPr>
        <w:pict>
          <v:shape id="_x0000_s1040" type="#_x0000_t202" style="position:absolute;margin-left:65.2pt;margin-top:12.65pt;width:465pt;height:66pt;z-index:12;mso-wrap-distance-left:0;mso-wrap-distance-right:0;mso-position-horizontal-relative:page" filled="f" strokeweight=".48pt">
            <v:textbox inset="0,0,0,0">
              <w:txbxContent>
                <w:p w:rsidR="008517B1" w:rsidRPr="00977A76" w:rsidRDefault="008517B1">
                  <w:pPr>
                    <w:spacing w:before="18"/>
                    <w:ind w:left="108"/>
                    <w:rPr>
                      <w:b/>
                      <w:sz w:val="24"/>
                      <w:lang w:val="ru-RU"/>
                    </w:rPr>
                  </w:pPr>
                  <w:r w:rsidRPr="00977A76">
                    <w:rPr>
                      <w:b/>
                      <w:lang w:val="ru-RU"/>
                    </w:rPr>
                    <w:t xml:space="preserve">За да получи един проект финансиране от ЕЗФРСР и националния бюджет: </w:t>
                  </w:r>
                  <w:r>
                    <w:rPr>
                      <w:b/>
                      <w:sz w:val="24"/>
                    </w:rPr>
                    <w:t>FNPV</w:t>
                  </w:r>
                </w:p>
                <w:p w:rsidR="008517B1" w:rsidRPr="00977A76" w:rsidRDefault="008517B1">
                  <w:pPr>
                    <w:spacing w:before="40" w:line="276" w:lineRule="auto"/>
                    <w:ind w:left="108" w:right="111"/>
                    <w:jc w:val="both"/>
                    <w:rPr>
                      <w:b/>
                      <w:sz w:val="24"/>
                      <w:lang w:val="ru-RU"/>
                    </w:rPr>
                  </w:pPr>
                  <w:r w:rsidRPr="00977A76">
                    <w:rPr>
                      <w:b/>
                      <w:sz w:val="24"/>
                      <w:lang w:val="ru-RU"/>
                    </w:rPr>
                    <w:t>(</w:t>
                  </w:r>
                  <w:r>
                    <w:rPr>
                      <w:b/>
                      <w:sz w:val="24"/>
                    </w:rPr>
                    <w:t>K</w:t>
                  </w:r>
                  <w:r w:rsidRPr="00977A76">
                    <w:rPr>
                      <w:b/>
                      <w:sz w:val="24"/>
                      <w:lang w:val="ru-RU"/>
                    </w:rPr>
                    <w:t xml:space="preserve">) заедно с помощта от Съюза следва да бъде отрицателна или равна на нула, а </w:t>
                  </w:r>
                  <w:r>
                    <w:rPr>
                      <w:b/>
                      <w:sz w:val="24"/>
                    </w:rPr>
                    <w:t>FRR</w:t>
                  </w:r>
                  <w:r w:rsidRPr="00977A76">
                    <w:rPr>
                      <w:b/>
                      <w:sz w:val="24"/>
                      <w:lang w:val="ru-RU"/>
                    </w:rPr>
                    <w:t xml:space="preserve"> (</w:t>
                  </w:r>
                  <w:r>
                    <w:rPr>
                      <w:b/>
                      <w:sz w:val="24"/>
                    </w:rPr>
                    <w:t>K</w:t>
                  </w:r>
                  <w:r w:rsidRPr="00977A76">
                    <w:rPr>
                      <w:b/>
                      <w:sz w:val="24"/>
                      <w:lang w:val="ru-RU"/>
                    </w:rPr>
                    <w:t>) следва да бъде по-малка или равна на дисконтовата норма; в противен случай трябва да бъде предоставена подходяща обосновка.</w:t>
                  </w:r>
                </w:p>
              </w:txbxContent>
            </v:textbox>
            <w10:wrap type="topAndBottom" anchorx="page"/>
          </v:shape>
        </w:pict>
      </w:r>
    </w:p>
    <w:p w:rsidR="008517B1" w:rsidRPr="008312E0" w:rsidRDefault="008517B1">
      <w:pPr>
        <w:pStyle w:val="a5"/>
        <w:ind w:left="0"/>
        <w:rPr>
          <w:b/>
          <w:lang w:val="ru-RU"/>
        </w:rPr>
      </w:pPr>
    </w:p>
    <w:p w:rsidR="008517B1" w:rsidRPr="008312E0" w:rsidRDefault="008517B1">
      <w:pPr>
        <w:pStyle w:val="a5"/>
        <w:ind w:left="0"/>
        <w:rPr>
          <w:b/>
          <w:lang w:val="ru-RU"/>
        </w:rPr>
      </w:pPr>
    </w:p>
    <w:p w:rsidR="008517B1" w:rsidRPr="006E21A4" w:rsidRDefault="008517B1">
      <w:pPr>
        <w:pStyle w:val="a5"/>
        <w:spacing w:before="11"/>
        <w:ind w:left="0"/>
        <w:rPr>
          <w:b/>
          <w:sz w:val="17"/>
          <w:lang w:val="ru-RU"/>
        </w:rPr>
      </w:pPr>
    </w:p>
    <w:p w:rsidR="008517B1" w:rsidRPr="006E21A4" w:rsidRDefault="008517B1">
      <w:pPr>
        <w:pStyle w:val="a5"/>
        <w:spacing w:before="11"/>
        <w:ind w:left="0"/>
        <w:rPr>
          <w:b/>
          <w:sz w:val="17"/>
          <w:lang w:val="ru-RU"/>
        </w:rPr>
      </w:pPr>
    </w:p>
    <w:p w:rsidR="008517B1" w:rsidRPr="00977A76" w:rsidRDefault="008517B1">
      <w:pPr>
        <w:pStyle w:val="a7"/>
        <w:numPr>
          <w:ilvl w:val="1"/>
          <w:numId w:val="2"/>
        </w:numPr>
        <w:tabs>
          <w:tab w:val="left" w:pos="1053"/>
        </w:tabs>
        <w:spacing w:before="90"/>
        <w:rPr>
          <w:b/>
          <w:sz w:val="24"/>
          <w:lang w:val="ru-RU"/>
        </w:rPr>
      </w:pPr>
      <w:r w:rsidRPr="00977A76">
        <w:rPr>
          <w:b/>
          <w:sz w:val="24"/>
          <w:lang w:val="ru-RU"/>
        </w:rPr>
        <w:t>Проверка на финансовата жизнеспособност (устойчивост) на</w:t>
      </w:r>
      <w:r w:rsidRPr="00977A76">
        <w:rPr>
          <w:b/>
          <w:spacing w:val="-7"/>
          <w:sz w:val="24"/>
          <w:lang w:val="ru-RU"/>
        </w:rPr>
        <w:t xml:space="preserve"> </w:t>
      </w:r>
      <w:r w:rsidRPr="00977A76">
        <w:rPr>
          <w:b/>
          <w:sz w:val="24"/>
          <w:lang w:val="ru-RU"/>
        </w:rPr>
        <w:t>проекта.</w:t>
      </w:r>
    </w:p>
    <w:p w:rsidR="008517B1" w:rsidRPr="00977A76" w:rsidRDefault="008517B1" w:rsidP="005C3777">
      <w:pPr>
        <w:pStyle w:val="a5"/>
        <w:spacing w:before="155" w:line="276" w:lineRule="auto"/>
        <w:ind w:right="352" w:firstLine="566"/>
        <w:jc w:val="both"/>
        <w:rPr>
          <w:lang w:val="ru-RU"/>
        </w:rPr>
      </w:pPr>
      <w:r w:rsidRPr="00977A76">
        <w:rPr>
          <w:lang w:val="ru-RU"/>
        </w:rPr>
        <w:t>Анализът на финансовата устойчивост се основава на прогнозите за паричните потоци по години за целия референтен период. Той се използва главно, за да се покаже, че проектът ще разполага през всички години с достатъчно парични ресурси, които ще</w:t>
      </w:r>
      <w:r>
        <w:rPr>
          <w:lang w:val="ru-RU"/>
        </w:rPr>
        <w:br/>
      </w:r>
      <w:r w:rsidRPr="00977A76">
        <w:rPr>
          <w:lang w:val="ru-RU"/>
        </w:rPr>
        <w:t>му позволят винаги да покрива инвестиционните и оперативните разходи (включително за поддръжка), независимо от източниците на финансиране.</w:t>
      </w:r>
    </w:p>
    <w:p w:rsidR="008517B1" w:rsidRPr="00977A76" w:rsidRDefault="008517B1">
      <w:pPr>
        <w:pStyle w:val="Heading11"/>
        <w:spacing w:before="125"/>
        <w:ind w:left="956"/>
        <w:rPr>
          <w:lang w:val="ru-RU"/>
        </w:rPr>
      </w:pPr>
      <w:r w:rsidRPr="00977A76">
        <w:rPr>
          <w:lang w:val="ru-RU"/>
        </w:rPr>
        <w:t>Положителните парични потоци, разглеждани за тази цел, включват:</w:t>
      </w:r>
    </w:p>
    <w:p w:rsidR="008517B1" w:rsidRDefault="008517B1">
      <w:pPr>
        <w:pStyle w:val="a7"/>
        <w:numPr>
          <w:ilvl w:val="2"/>
          <w:numId w:val="2"/>
        </w:numPr>
        <w:tabs>
          <w:tab w:val="left" w:pos="1948"/>
        </w:tabs>
        <w:spacing w:before="156"/>
        <w:ind w:firstLine="720"/>
        <w:rPr>
          <w:sz w:val="24"/>
        </w:rPr>
      </w:pPr>
      <w:r>
        <w:rPr>
          <w:sz w:val="24"/>
        </w:rPr>
        <w:t>Източници на</w:t>
      </w:r>
      <w:r>
        <w:rPr>
          <w:spacing w:val="-4"/>
          <w:sz w:val="24"/>
        </w:rPr>
        <w:t xml:space="preserve"> </w:t>
      </w:r>
      <w:r>
        <w:rPr>
          <w:sz w:val="24"/>
        </w:rPr>
        <w:t>финансиране;</w:t>
      </w:r>
    </w:p>
    <w:p w:rsidR="008517B1" w:rsidRDefault="008517B1">
      <w:pPr>
        <w:pStyle w:val="a7"/>
        <w:numPr>
          <w:ilvl w:val="2"/>
          <w:numId w:val="2"/>
        </w:numPr>
        <w:tabs>
          <w:tab w:val="left" w:pos="1948"/>
        </w:tabs>
        <w:spacing w:before="161"/>
        <w:ind w:firstLine="720"/>
        <w:rPr>
          <w:sz w:val="24"/>
        </w:rPr>
      </w:pPr>
      <w:r>
        <w:rPr>
          <w:sz w:val="24"/>
        </w:rPr>
        <w:t>Приходи от</w:t>
      </w:r>
      <w:r>
        <w:rPr>
          <w:spacing w:val="-1"/>
          <w:sz w:val="24"/>
        </w:rPr>
        <w:t xml:space="preserve"> </w:t>
      </w:r>
      <w:r>
        <w:rPr>
          <w:sz w:val="24"/>
        </w:rPr>
        <w:t>дейността;</w:t>
      </w:r>
    </w:p>
    <w:p w:rsidR="008517B1" w:rsidRPr="00977A76" w:rsidRDefault="008517B1">
      <w:pPr>
        <w:pStyle w:val="a7"/>
        <w:numPr>
          <w:ilvl w:val="2"/>
          <w:numId w:val="2"/>
        </w:numPr>
        <w:tabs>
          <w:tab w:val="left" w:pos="1948"/>
        </w:tabs>
        <w:spacing w:before="163" w:line="276" w:lineRule="auto"/>
        <w:ind w:right="365" w:firstLine="720"/>
        <w:rPr>
          <w:sz w:val="24"/>
          <w:lang w:val="ru-RU"/>
        </w:rPr>
      </w:pPr>
      <w:r w:rsidRPr="00977A76">
        <w:rPr>
          <w:sz w:val="24"/>
          <w:lang w:val="ru-RU"/>
        </w:rPr>
        <w:t>Трансфери, субсидии и други финансови печалби, които не произтичат от такси, заплащани от ползвателите за ползването а</w:t>
      </w:r>
      <w:r w:rsidRPr="00977A76">
        <w:rPr>
          <w:spacing w:val="-14"/>
          <w:sz w:val="24"/>
          <w:lang w:val="ru-RU"/>
        </w:rPr>
        <w:t xml:space="preserve"> </w:t>
      </w:r>
      <w:r w:rsidRPr="00977A76">
        <w:rPr>
          <w:sz w:val="24"/>
          <w:lang w:val="ru-RU"/>
        </w:rPr>
        <w:t>инфраструктурата.</w:t>
      </w:r>
    </w:p>
    <w:p w:rsidR="008517B1" w:rsidRPr="008312E0" w:rsidRDefault="008517B1">
      <w:pPr>
        <w:pStyle w:val="a5"/>
        <w:spacing w:before="120" w:line="276" w:lineRule="auto"/>
        <w:ind w:firstLine="719"/>
        <w:rPr>
          <w:lang w:val="ru-RU"/>
        </w:rPr>
      </w:pPr>
      <w:r w:rsidRPr="00977A76">
        <w:rPr>
          <w:lang w:val="ru-RU"/>
        </w:rPr>
        <w:t>Остатъчната стойност не се взема предвид, освен ако действително активът е ликвидиран през последната година, включена в анализа.</w:t>
      </w:r>
    </w:p>
    <w:p w:rsidR="008517B1" w:rsidRPr="008312E0" w:rsidRDefault="008517B1">
      <w:pPr>
        <w:pStyle w:val="a5"/>
        <w:spacing w:before="120" w:line="276" w:lineRule="auto"/>
        <w:ind w:firstLine="719"/>
        <w:rPr>
          <w:lang w:val="ru-RU"/>
        </w:rPr>
      </w:pPr>
    </w:p>
    <w:p w:rsidR="008517B1" w:rsidRDefault="008517B1">
      <w:pPr>
        <w:pStyle w:val="Heading11"/>
        <w:spacing w:before="122"/>
        <w:ind w:left="956"/>
        <w:rPr>
          <w:b w:val="0"/>
        </w:rPr>
      </w:pPr>
      <w:r>
        <w:t>Отрицателните парични потоци включват</w:t>
      </w:r>
      <w:r>
        <w:rPr>
          <w:b w:val="0"/>
        </w:rPr>
        <w:t>:</w:t>
      </w:r>
    </w:p>
    <w:p w:rsidR="008517B1" w:rsidRDefault="008517B1">
      <w:pPr>
        <w:pStyle w:val="a7"/>
        <w:numPr>
          <w:ilvl w:val="0"/>
          <w:numId w:val="1"/>
        </w:numPr>
        <w:tabs>
          <w:tab w:val="left" w:pos="1948"/>
        </w:tabs>
        <w:ind w:hanging="271"/>
        <w:rPr>
          <w:sz w:val="24"/>
        </w:rPr>
      </w:pPr>
      <w:r>
        <w:rPr>
          <w:sz w:val="24"/>
        </w:rPr>
        <w:t>Инвестиционни</w:t>
      </w:r>
      <w:r>
        <w:rPr>
          <w:spacing w:val="-1"/>
          <w:sz w:val="24"/>
        </w:rPr>
        <w:t xml:space="preserve"> </w:t>
      </w:r>
      <w:r>
        <w:rPr>
          <w:sz w:val="24"/>
        </w:rPr>
        <w:t>разходи;</w:t>
      </w:r>
    </w:p>
    <w:p w:rsidR="008517B1" w:rsidRPr="00977A76" w:rsidRDefault="008517B1">
      <w:pPr>
        <w:pStyle w:val="a7"/>
        <w:numPr>
          <w:ilvl w:val="0"/>
          <w:numId w:val="1"/>
        </w:numPr>
        <w:tabs>
          <w:tab w:val="left" w:pos="1948"/>
        </w:tabs>
        <w:ind w:hanging="271"/>
        <w:rPr>
          <w:sz w:val="24"/>
          <w:lang w:val="ru-RU"/>
        </w:rPr>
      </w:pPr>
      <w:r w:rsidRPr="00977A76">
        <w:rPr>
          <w:sz w:val="24"/>
          <w:lang w:val="ru-RU"/>
        </w:rPr>
        <w:t>Разходи за подмяна (в момента, в който те се</w:t>
      </w:r>
      <w:r w:rsidRPr="00977A76">
        <w:rPr>
          <w:spacing w:val="-10"/>
          <w:sz w:val="24"/>
          <w:lang w:val="ru-RU"/>
        </w:rPr>
        <w:t xml:space="preserve"> </w:t>
      </w:r>
      <w:r w:rsidRPr="00977A76">
        <w:rPr>
          <w:sz w:val="24"/>
          <w:lang w:val="ru-RU"/>
        </w:rPr>
        <w:t>изплащат);</w:t>
      </w:r>
    </w:p>
    <w:p w:rsidR="008517B1" w:rsidRDefault="008517B1">
      <w:pPr>
        <w:pStyle w:val="a7"/>
        <w:numPr>
          <w:ilvl w:val="0"/>
          <w:numId w:val="1"/>
        </w:numPr>
        <w:tabs>
          <w:tab w:val="left" w:pos="1948"/>
        </w:tabs>
        <w:ind w:hanging="271"/>
        <w:rPr>
          <w:sz w:val="24"/>
        </w:rPr>
      </w:pPr>
      <w:r>
        <w:rPr>
          <w:sz w:val="24"/>
        </w:rPr>
        <w:t>Оперативни</w:t>
      </w:r>
      <w:r>
        <w:rPr>
          <w:spacing w:val="-1"/>
          <w:sz w:val="24"/>
        </w:rPr>
        <w:t xml:space="preserve"> </w:t>
      </w:r>
      <w:r>
        <w:rPr>
          <w:sz w:val="24"/>
        </w:rPr>
        <w:t>разходи;</w:t>
      </w:r>
    </w:p>
    <w:p w:rsidR="008517B1" w:rsidRPr="00977A76" w:rsidRDefault="008517B1">
      <w:pPr>
        <w:pStyle w:val="a7"/>
        <w:numPr>
          <w:ilvl w:val="0"/>
          <w:numId w:val="1"/>
        </w:numPr>
        <w:tabs>
          <w:tab w:val="left" w:pos="1948"/>
        </w:tabs>
        <w:spacing w:before="163"/>
        <w:ind w:hanging="271"/>
        <w:rPr>
          <w:sz w:val="24"/>
          <w:lang w:val="ru-RU"/>
        </w:rPr>
      </w:pPr>
      <w:r w:rsidRPr="00977A76">
        <w:rPr>
          <w:sz w:val="24"/>
          <w:lang w:val="ru-RU"/>
        </w:rPr>
        <w:t>Вноски по заеми и лихвени</w:t>
      </w:r>
      <w:r w:rsidRPr="00977A76">
        <w:rPr>
          <w:spacing w:val="-1"/>
          <w:sz w:val="24"/>
          <w:lang w:val="ru-RU"/>
        </w:rPr>
        <w:t xml:space="preserve"> </w:t>
      </w:r>
      <w:r w:rsidRPr="00977A76">
        <w:rPr>
          <w:sz w:val="24"/>
          <w:lang w:val="ru-RU"/>
        </w:rPr>
        <w:t>плащания;</w:t>
      </w:r>
    </w:p>
    <w:p w:rsidR="008517B1" w:rsidRPr="00977A76" w:rsidRDefault="008517B1">
      <w:pPr>
        <w:pStyle w:val="a7"/>
        <w:numPr>
          <w:ilvl w:val="0"/>
          <w:numId w:val="1"/>
        </w:numPr>
        <w:tabs>
          <w:tab w:val="left" w:pos="1948"/>
        </w:tabs>
        <w:spacing w:before="161"/>
        <w:ind w:hanging="271"/>
        <w:rPr>
          <w:sz w:val="24"/>
          <w:lang w:val="ru-RU"/>
        </w:rPr>
      </w:pPr>
      <w:r w:rsidRPr="00977A76">
        <w:rPr>
          <w:sz w:val="24"/>
          <w:lang w:val="ru-RU"/>
        </w:rPr>
        <w:t>Данъци върху капитала/дохода и други директни</w:t>
      </w:r>
      <w:r w:rsidRPr="00977A76">
        <w:rPr>
          <w:spacing w:val="-13"/>
          <w:sz w:val="24"/>
          <w:lang w:val="ru-RU"/>
        </w:rPr>
        <w:t xml:space="preserve"> </w:t>
      </w:r>
      <w:r w:rsidRPr="00977A76">
        <w:rPr>
          <w:sz w:val="24"/>
          <w:lang w:val="ru-RU"/>
        </w:rPr>
        <w:t>данъци.</w:t>
      </w:r>
      <w:r w:rsidRPr="003476F1">
        <w:rPr>
          <w:sz w:val="24"/>
          <w:lang w:val="ru-RU"/>
        </w:rPr>
        <w:br/>
      </w:r>
    </w:p>
    <w:p w:rsidR="008517B1" w:rsidRPr="00977A76" w:rsidRDefault="00283A43">
      <w:pPr>
        <w:pStyle w:val="a5"/>
        <w:ind w:left="0"/>
        <w:rPr>
          <w:sz w:val="29"/>
          <w:lang w:val="ru-RU"/>
        </w:rPr>
      </w:pPr>
      <w:r>
        <w:rPr>
          <w:noProof/>
          <w:lang w:val="bg-BG" w:eastAsia="bg-BG"/>
        </w:rPr>
        <w:lastRenderedPageBreak/>
        <w:pict>
          <v:shape id="_x0000_s1041" type="#_x0000_t202" style="position:absolute;margin-left:65.2pt;margin-top:18.9pt;width:465pt;height:50.2pt;z-index:13;mso-wrap-distance-left:0;mso-wrap-distance-right:0;mso-position-horizontal-relative:page" filled="f" strokeweight=".48pt">
            <v:textbox style="mso-next-textbox:#_x0000_s1041" inset="0,0,0,0">
              <w:txbxContent>
                <w:p w:rsidR="008517B1" w:rsidRPr="00977A76" w:rsidRDefault="008517B1">
                  <w:pPr>
                    <w:spacing w:before="18" w:line="276" w:lineRule="auto"/>
                    <w:ind w:left="108" w:right="110"/>
                    <w:jc w:val="both"/>
                    <w:rPr>
                      <w:b/>
                      <w:sz w:val="24"/>
                      <w:lang w:val="ru-RU"/>
                    </w:rPr>
                  </w:pPr>
                  <w:r w:rsidRPr="00977A76">
                    <w:rPr>
                      <w:b/>
                      <w:lang w:val="ru-RU"/>
                    </w:rPr>
                    <w:t>Проектът е финансово устойчив ако кумулираните нетни парични потоци са положителни или нулеви на годишна основа и през целия разглеждан референтен период.</w:t>
                  </w:r>
                </w:p>
              </w:txbxContent>
            </v:textbox>
            <w10:wrap type="topAndBottom" anchorx="page"/>
          </v:shape>
        </w:pict>
      </w:r>
    </w:p>
    <w:p w:rsidR="008517B1" w:rsidRPr="008312E0" w:rsidRDefault="008517B1" w:rsidP="005C3777">
      <w:pPr>
        <w:pStyle w:val="a5"/>
        <w:spacing w:before="90" w:line="276" w:lineRule="auto"/>
        <w:ind w:right="359" w:firstLine="719"/>
        <w:jc w:val="both"/>
        <w:rPr>
          <w:lang w:val="ru-RU"/>
        </w:rPr>
      </w:pPr>
    </w:p>
    <w:p w:rsidR="008517B1" w:rsidRPr="00941B8E" w:rsidRDefault="008517B1" w:rsidP="005C3777">
      <w:pPr>
        <w:pStyle w:val="a5"/>
        <w:spacing w:before="90" w:line="276" w:lineRule="auto"/>
        <w:ind w:right="359" w:firstLine="719"/>
        <w:jc w:val="both"/>
        <w:rPr>
          <w:lang w:val="ru-RU"/>
        </w:rPr>
      </w:pPr>
      <w:r w:rsidRPr="00977A76">
        <w:rPr>
          <w:lang w:val="ru-RU"/>
        </w:rPr>
        <w:t xml:space="preserve">В случаите на </w:t>
      </w:r>
      <w:r w:rsidRPr="00977A76">
        <w:rPr>
          <w:b/>
          <w:lang w:val="ru-RU"/>
        </w:rPr>
        <w:t xml:space="preserve">не генериращи </w:t>
      </w:r>
      <w:r w:rsidRPr="00977A76">
        <w:rPr>
          <w:lang w:val="ru-RU"/>
        </w:rPr>
        <w:t xml:space="preserve">приходи проекти или когато в бъдеще се очакват </w:t>
      </w:r>
      <w:r w:rsidRPr="00977A76">
        <w:rPr>
          <w:b/>
          <w:lang w:val="ru-RU"/>
        </w:rPr>
        <w:t>отрицателни парични потоци</w:t>
      </w:r>
      <w:r w:rsidRPr="00977A76">
        <w:rPr>
          <w:lang w:val="ru-RU"/>
        </w:rPr>
        <w:t>, трябва да се посочи как разходите ще бъдат покривани с ясен дългосрочен ангажимент на бенефициера/стопанския субект да предоставя адекватно финансиране от други източници, за да се гарантира устойчивостта на проекта.</w:t>
      </w:r>
    </w:p>
    <w:p w:rsidR="008517B1" w:rsidRPr="006E21A4" w:rsidRDefault="008517B1" w:rsidP="005C3777">
      <w:pPr>
        <w:pStyle w:val="a5"/>
        <w:spacing w:before="90" w:line="276" w:lineRule="auto"/>
        <w:ind w:right="359" w:firstLine="719"/>
        <w:jc w:val="both"/>
        <w:rPr>
          <w:lang w:val="ru-RU"/>
        </w:rPr>
      </w:pPr>
    </w:p>
    <w:p w:rsidR="008517B1" w:rsidRPr="006E21A4" w:rsidRDefault="008517B1" w:rsidP="005C3777">
      <w:pPr>
        <w:pStyle w:val="a5"/>
        <w:spacing w:before="90" w:line="276" w:lineRule="auto"/>
        <w:ind w:right="359" w:firstLine="719"/>
        <w:jc w:val="both"/>
        <w:rPr>
          <w:lang w:val="ru-RU"/>
        </w:rPr>
      </w:pPr>
    </w:p>
    <w:p w:rsidR="008517B1" w:rsidRPr="006E21A4" w:rsidRDefault="008517B1" w:rsidP="005C3777">
      <w:pPr>
        <w:pStyle w:val="a5"/>
        <w:spacing w:before="90" w:line="276" w:lineRule="auto"/>
        <w:ind w:right="359" w:firstLine="719"/>
        <w:jc w:val="both"/>
        <w:rPr>
          <w:lang w:val="ru-RU"/>
        </w:rPr>
      </w:pPr>
    </w:p>
    <w:p w:rsidR="008517B1" w:rsidRPr="006E21A4" w:rsidRDefault="008517B1" w:rsidP="005C3777">
      <w:pPr>
        <w:pStyle w:val="a5"/>
        <w:spacing w:before="90" w:line="276" w:lineRule="auto"/>
        <w:ind w:right="359" w:firstLine="719"/>
        <w:jc w:val="both"/>
        <w:rPr>
          <w:lang w:val="ru-RU"/>
        </w:rPr>
      </w:pPr>
    </w:p>
    <w:p w:rsidR="008517B1" w:rsidRPr="005C3777" w:rsidRDefault="008517B1" w:rsidP="005C3777">
      <w:pPr>
        <w:pStyle w:val="a5"/>
        <w:spacing w:before="90" w:line="276" w:lineRule="auto"/>
        <w:ind w:right="359" w:firstLine="719"/>
        <w:jc w:val="both"/>
        <w:rPr>
          <w:sz w:val="14"/>
          <w:lang w:val="ru-RU"/>
        </w:rPr>
      </w:pPr>
      <w:r>
        <w:rPr>
          <w:lang w:val="ru-RU"/>
        </w:rPr>
        <w:br/>
      </w:r>
      <w:r w:rsidRPr="005C3777">
        <w:rPr>
          <w:lang w:val="ru-RU"/>
        </w:rPr>
        <w:t>ПРИЛОЖЕНИЯ:</w:t>
      </w:r>
    </w:p>
    <w:tbl>
      <w:tblPr>
        <w:tblW w:w="0" w:type="auto"/>
        <w:tblInd w:w="2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21"/>
        <w:gridCol w:w="1779"/>
        <w:gridCol w:w="1601"/>
        <w:gridCol w:w="1681"/>
        <w:gridCol w:w="1902"/>
      </w:tblGrid>
      <w:tr w:rsidR="008517B1" w:rsidTr="009A7348">
        <w:trPr>
          <w:trHeight w:val="532"/>
        </w:trPr>
        <w:tc>
          <w:tcPr>
            <w:tcW w:w="7484" w:type="dxa"/>
            <w:gridSpan w:val="5"/>
          </w:tcPr>
          <w:p w:rsidR="008517B1" w:rsidRPr="009A7348" w:rsidRDefault="008517B1" w:rsidP="009A7348">
            <w:pPr>
              <w:pStyle w:val="TableParagraph"/>
              <w:spacing w:before="120"/>
              <w:ind w:left="107"/>
              <w:rPr>
                <w:b/>
              </w:rPr>
            </w:pPr>
            <w:r w:rsidRPr="009A7348">
              <w:rPr>
                <w:b/>
              </w:rPr>
              <w:t>ТАБЛИЦА 1 ИНВЕСТИЦИОННИ РАЗХОДИ</w:t>
            </w:r>
          </w:p>
        </w:tc>
      </w:tr>
      <w:tr w:rsidR="008517B1" w:rsidRPr="00F765EF" w:rsidTr="009A7348">
        <w:trPr>
          <w:trHeight w:val="1372"/>
        </w:trPr>
        <w:tc>
          <w:tcPr>
            <w:tcW w:w="521" w:type="dxa"/>
          </w:tcPr>
          <w:p w:rsidR="008517B1" w:rsidRDefault="008517B1">
            <w:pPr>
              <w:pStyle w:val="TableParagraph"/>
            </w:pPr>
          </w:p>
        </w:tc>
        <w:tc>
          <w:tcPr>
            <w:tcW w:w="1779" w:type="dxa"/>
            <w:tcBorders>
              <w:bottom w:val="single" w:sz="6" w:space="0" w:color="000000"/>
              <w:right w:val="single" w:sz="6" w:space="0" w:color="000000"/>
            </w:tcBorders>
          </w:tcPr>
          <w:p w:rsidR="008517B1" w:rsidRPr="009A7348" w:rsidRDefault="008517B1" w:rsidP="009A7348">
            <w:pPr>
              <w:pStyle w:val="TableParagraph"/>
              <w:spacing w:before="118"/>
              <w:ind w:left="107"/>
              <w:rPr>
                <w:b/>
              </w:rPr>
            </w:pPr>
            <w:r w:rsidRPr="009A7348">
              <w:rPr>
                <w:b/>
              </w:rPr>
              <w:t>В евро</w:t>
            </w:r>
          </w:p>
        </w:tc>
        <w:tc>
          <w:tcPr>
            <w:tcW w:w="1601" w:type="dxa"/>
            <w:tcBorders>
              <w:left w:val="single" w:sz="6" w:space="0" w:color="000000"/>
            </w:tcBorders>
          </w:tcPr>
          <w:p w:rsidR="008517B1" w:rsidRPr="009A7348" w:rsidRDefault="008517B1" w:rsidP="009A7348">
            <w:pPr>
              <w:pStyle w:val="TableParagraph"/>
              <w:spacing w:before="118" w:line="276" w:lineRule="auto"/>
              <w:ind w:left="112" w:right="672"/>
              <w:rPr>
                <w:b/>
              </w:rPr>
            </w:pPr>
            <w:r w:rsidRPr="009A7348">
              <w:rPr>
                <w:b/>
              </w:rPr>
              <w:t>Общо разходи</w:t>
            </w:r>
          </w:p>
          <w:p w:rsidR="008517B1" w:rsidRDefault="008517B1" w:rsidP="009A7348">
            <w:pPr>
              <w:pStyle w:val="TableParagraph"/>
              <w:spacing w:before="9"/>
            </w:pPr>
          </w:p>
          <w:p w:rsidR="008517B1" w:rsidRPr="009A7348" w:rsidRDefault="008517B1" w:rsidP="009A7348">
            <w:pPr>
              <w:pStyle w:val="TableParagraph"/>
              <w:ind w:left="112"/>
              <w:rPr>
                <w:b/>
              </w:rPr>
            </w:pPr>
            <w:r w:rsidRPr="009A7348">
              <w:rPr>
                <w:b/>
              </w:rPr>
              <w:t>(А)</w:t>
            </w:r>
          </w:p>
        </w:tc>
        <w:tc>
          <w:tcPr>
            <w:tcW w:w="1681" w:type="dxa"/>
          </w:tcPr>
          <w:p w:rsidR="008517B1" w:rsidRPr="009A7348" w:rsidRDefault="008517B1" w:rsidP="009A7348">
            <w:pPr>
              <w:pStyle w:val="TableParagraph"/>
              <w:spacing w:before="118" w:line="276" w:lineRule="auto"/>
              <w:ind w:left="107" w:right="198"/>
              <w:rPr>
                <w:b/>
              </w:rPr>
            </w:pPr>
            <w:r w:rsidRPr="009A7348">
              <w:rPr>
                <w:b/>
              </w:rPr>
              <w:t>Недопустими разходи</w:t>
            </w:r>
          </w:p>
          <w:p w:rsidR="008517B1" w:rsidRDefault="008517B1" w:rsidP="009A7348">
            <w:pPr>
              <w:pStyle w:val="TableParagraph"/>
              <w:spacing w:before="9"/>
            </w:pPr>
          </w:p>
          <w:p w:rsidR="008517B1" w:rsidRPr="009A7348" w:rsidRDefault="008517B1" w:rsidP="009A7348">
            <w:pPr>
              <w:pStyle w:val="TableParagraph"/>
              <w:ind w:left="107"/>
              <w:rPr>
                <w:b/>
              </w:rPr>
            </w:pPr>
            <w:r w:rsidRPr="009A7348">
              <w:rPr>
                <w:b/>
              </w:rPr>
              <w:t>(Б)</w:t>
            </w:r>
          </w:p>
        </w:tc>
        <w:tc>
          <w:tcPr>
            <w:tcW w:w="1902" w:type="dxa"/>
          </w:tcPr>
          <w:p w:rsidR="008517B1" w:rsidRPr="009A7348" w:rsidRDefault="008517B1" w:rsidP="009A7348">
            <w:pPr>
              <w:pStyle w:val="TableParagraph"/>
              <w:spacing w:before="118" w:line="276" w:lineRule="auto"/>
              <w:ind w:left="106" w:right="648"/>
              <w:rPr>
                <w:b/>
                <w:lang w:val="ru-RU"/>
              </w:rPr>
            </w:pPr>
            <w:r w:rsidRPr="009A7348">
              <w:rPr>
                <w:b/>
                <w:lang w:val="ru-RU"/>
              </w:rPr>
              <w:t>Допустими разходи</w:t>
            </w:r>
          </w:p>
          <w:p w:rsidR="008517B1" w:rsidRPr="009A7348" w:rsidRDefault="008517B1" w:rsidP="009A7348">
            <w:pPr>
              <w:pStyle w:val="TableParagraph"/>
              <w:spacing w:before="9"/>
              <w:rPr>
                <w:lang w:val="ru-RU"/>
              </w:rPr>
            </w:pPr>
          </w:p>
          <w:p w:rsidR="008517B1" w:rsidRPr="009A7348" w:rsidRDefault="008517B1" w:rsidP="009A7348">
            <w:pPr>
              <w:pStyle w:val="TableParagraph"/>
              <w:ind w:left="106"/>
              <w:rPr>
                <w:b/>
                <w:lang w:val="ru-RU"/>
              </w:rPr>
            </w:pPr>
            <w:r w:rsidRPr="009A7348">
              <w:rPr>
                <w:b/>
                <w:lang w:val="ru-RU"/>
              </w:rPr>
              <w:t>(В) = (А) – (Б)</w:t>
            </w:r>
          </w:p>
        </w:tc>
      </w:tr>
      <w:tr w:rsidR="008517B1" w:rsidRPr="00F765EF" w:rsidTr="009A7348">
        <w:trPr>
          <w:trHeight w:val="1113"/>
        </w:trPr>
        <w:tc>
          <w:tcPr>
            <w:tcW w:w="521" w:type="dxa"/>
            <w:tcBorders>
              <w:left w:val="single" w:sz="6" w:space="0" w:color="000000"/>
              <w:bottom w:val="single" w:sz="6" w:space="0" w:color="000000"/>
              <w:right w:val="single" w:sz="6" w:space="0" w:color="000000"/>
            </w:tcBorders>
          </w:tcPr>
          <w:p w:rsidR="008517B1" w:rsidRDefault="008517B1" w:rsidP="009A7348">
            <w:pPr>
              <w:pStyle w:val="TableParagraph"/>
              <w:spacing w:before="114"/>
              <w:ind w:left="110"/>
            </w:pPr>
            <w:r>
              <w:t>1</w:t>
            </w:r>
          </w:p>
        </w:tc>
        <w:tc>
          <w:tcPr>
            <w:tcW w:w="1779"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14" w:line="276" w:lineRule="auto"/>
              <w:ind w:left="109" w:right="455"/>
              <w:rPr>
                <w:lang w:val="ru-RU"/>
              </w:rPr>
            </w:pPr>
            <w:r w:rsidRPr="009A7348">
              <w:rPr>
                <w:lang w:val="ru-RU"/>
              </w:rPr>
              <w:t>Разходи за планиране и проектиране</w:t>
            </w:r>
          </w:p>
        </w:tc>
        <w:tc>
          <w:tcPr>
            <w:tcW w:w="1601" w:type="dxa"/>
            <w:tcBorders>
              <w:left w:val="single" w:sz="6" w:space="0" w:color="000000"/>
            </w:tcBorders>
          </w:tcPr>
          <w:p w:rsidR="008517B1" w:rsidRPr="009A7348" w:rsidRDefault="008517B1">
            <w:pPr>
              <w:pStyle w:val="TableParagraph"/>
              <w:rPr>
                <w:lang w:val="ru-RU"/>
              </w:rPr>
            </w:pPr>
          </w:p>
        </w:tc>
        <w:tc>
          <w:tcPr>
            <w:tcW w:w="1681" w:type="dxa"/>
          </w:tcPr>
          <w:p w:rsidR="008517B1" w:rsidRPr="009A7348" w:rsidRDefault="008517B1">
            <w:pPr>
              <w:pStyle w:val="TableParagraph"/>
              <w:rPr>
                <w:lang w:val="ru-RU"/>
              </w:rPr>
            </w:pPr>
          </w:p>
        </w:tc>
        <w:tc>
          <w:tcPr>
            <w:tcW w:w="1902" w:type="dxa"/>
          </w:tcPr>
          <w:p w:rsidR="008517B1" w:rsidRPr="009A7348" w:rsidRDefault="008517B1">
            <w:pPr>
              <w:pStyle w:val="TableParagraph"/>
              <w:rPr>
                <w:lang w:val="ru-RU"/>
              </w:rPr>
            </w:pPr>
          </w:p>
        </w:tc>
      </w:tr>
      <w:tr w:rsidR="008517B1" w:rsidTr="009A7348">
        <w:trPr>
          <w:trHeight w:val="822"/>
        </w:trPr>
        <w:tc>
          <w:tcPr>
            <w:tcW w:w="52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ind w:left="110"/>
            </w:pPr>
            <w:r>
              <w:t>2</w:t>
            </w:r>
          </w:p>
        </w:tc>
        <w:tc>
          <w:tcPr>
            <w:tcW w:w="1779"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line="278" w:lineRule="auto"/>
              <w:ind w:left="109" w:right="295"/>
            </w:pPr>
            <w:r>
              <w:t>Закупуване на земя</w:t>
            </w:r>
          </w:p>
        </w:tc>
        <w:tc>
          <w:tcPr>
            <w:tcW w:w="1601" w:type="dxa"/>
            <w:tcBorders>
              <w:left w:val="single" w:sz="6" w:space="0" w:color="000000"/>
            </w:tcBorders>
          </w:tcPr>
          <w:p w:rsidR="008517B1" w:rsidRDefault="008517B1">
            <w:pPr>
              <w:pStyle w:val="TableParagraph"/>
            </w:pPr>
          </w:p>
        </w:tc>
        <w:tc>
          <w:tcPr>
            <w:tcW w:w="1681" w:type="dxa"/>
          </w:tcPr>
          <w:p w:rsidR="008517B1" w:rsidRDefault="008517B1">
            <w:pPr>
              <w:pStyle w:val="TableParagraph"/>
            </w:pPr>
          </w:p>
        </w:tc>
        <w:tc>
          <w:tcPr>
            <w:tcW w:w="1902" w:type="dxa"/>
          </w:tcPr>
          <w:p w:rsidR="008517B1" w:rsidRDefault="008517B1">
            <w:pPr>
              <w:pStyle w:val="TableParagraph"/>
            </w:pPr>
          </w:p>
        </w:tc>
      </w:tr>
      <w:tr w:rsidR="008517B1" w:rsidTr="009A7348">
        <w:trPr>
          <w:trHeight w:val="822"/>
        </w:trPr>
        <w:tc>
          <w:tcPr>
            <w:tcW w:w="52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ind w:left="110"/>
            </w:pPr>
            <w:r>
              <w:t>3</w:t>
            </w:r>
          </w:p>
        </w:tc>
        <w:tc>
          <w:tcPr>
            <w:tcW w:w="1779"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line="276" w:lineRule="auto"/>
              <w:ind w:left="109" w:right="170"/>
            </w:pPr>
            <w:r>
              <w:t>Строителство и изграждане</w:t>
            </w:r>
          </w:p>
        </w:tc>
        <w:tc>
          <w:tcPr>
            <w:tcW w:w="1601" w:type="dxa"/>
            <w:tcBorders>
              <w:left w:val="single" w:sz="6" w:space="0" w:color="000000"/>
            </w:tcBorders>
          </w:tcPr>
          <w:p w:rsidR="008517B1" w:rsidRDefault="008517B1">
            <w:pPr>
              <w:pStyle w:val="TableParagraph"/>
            </w:pPr>
          </w:p>
        </w:tc>
        <w:tc>
          <w:tcPr>
            <w:tcW w:w="1681" w:type="dxa"/>
          </w:tcPr>
          <w:p w:rsidR="008517B1" w:rsidRDefault="008517B1">
            <w:pPr>
              <w:pStyle w:val="TableParagraph"/>
            </w:pPr>
          </w:p>
        </w:tc>
        <w:tc>
          <w:tcPr>
            <w:tcW w:w="1902" w:type="dxa"/>
          </w:tcPr>
          <w:p w:rsidR="008517B1" w:rsidRDefault="008517B1">
            <w:pPr>
              <w:pStyle w:val="TableParagraph"/>
            </w:pPr>
          </w:p>
        </w:tc>
      </w:tr>
      <w:tr w:rsidR="008517B1" w:rsidRPr="00F765EF" w:rsidTr="009A7348">
        <w:trPr>
          <w:trHeight w:val="1113"/>
        </w:trPr>
        <w:tc>
          <w:tcPr>
            <w:tcW w:w="52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ind w:left="110"/>
            </w:pPr>
            <w:r>
              <w:t>4</w:t>
            </w:r>
          </w:p>
        </w:tc>
        <w:tc>
          <w:tcPr>
            <w:tcW w:w="1779"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13" w:line="276" w:lineRule="auto"/>
              <w:ind w:left="109" w:right="281"/>
              <w:rPr>
                <w:lang w:val="ru-RU"/>
              </w:rPr>
            </w:pPr>
            <w:r w:rsidRPr="009A7348">
              <w:rPr>
                <w:lang w:val="ru-RU"/>
              </w:rPr>
              <w:t>Съоръжения и машини или оборудване</w:t>
            </w:r>
          </w:p>
        </w:tc>
        <w:tc>
          <w:tcPr>
            <w:tcW w:w="1601" w:type="dxa"/>
            <w:tcBorders>
              <w:left w:val="single" w:sz="6" w:space="0" w:color="000000"/>
            </w:tcBorders>
          </w:tcPr>
          <w:p w:rsidR="008517B1" w:rsidRPr="009A7348" w:rsidRDefault="008517B1">
            <w:pPr>
              <w:pStyle w:val="TableParagraph"/>
              <w:rPr>
                <w:lang w:val="ru-RU"/>
              </w:rPr>
            </w:pPr>
          </w:p>
        </w:tc>
        <w:tc>
          <w:tcPr>
            <w:tcW w:w="1681" w:type="dxa"/>
          </w:tcPr>
          <w:p w:rsidR="008517B1" w:rsidRPr="009A7348" w:rsidRDefault="008517B1">
            <w:pPr>
              <w:pStyle w:val="TableParagraph"/>
              <w:rPr>
                <w:lang w:val="ru-RU"/>
              </w:rPr>
            </w:pPr>
          </w:p>
        </w:tc>
        <w:tc>
          <w:tcPr>
            <w:tcW w:w="1902" w:type="dxa"/>
          </w:tcPr>
          <w:p w:rsidR="008517B1" w:rsidRPr="009A7348" w:rsidRDefault="008517B1">
            <w:pPr>
              <w:pStyle w:val="TableParagraph"/>
              <w:rPr>
                <w:lang w:val="ru-RU"/>
              </w:rPr>
            </w:pPr>
          </w:p>
        </w:tc>
      </w:tr>
      <w:tr w:rsidR="008517B1" w:rsidTr="009A7348">
        <w:trPr>
          <w:trHeight w:val="820"/>
        </w:trPr>
        <w:tc>
          <w:tcPr>
            <w:tcW w:w="52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ind w:left="110"/>
            </w:pPr>
            <w:r>
              <w:t>5</w:t>
            </w:r>
          </w:p>
        </w:tc>
        <w:tc>
          <w:tcPr>
            <w:tcW w:w="1779"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line="276" w:lineRule="auto"/>
              <w:ind w:left="109" w:right="274"/>
            </w:pPr>
            <w:r>
              <w:t>Непредвидени разходи</w:t>
            </w:r>
          </w:p>
        </w:tc>
        <w:tc>
          <w:tcPr>
            <w:tcW w:w="1601" w:type="dxa"/>
            <w:tcBorders>
              <w:left w:val="single" w:sz="6" w:space="0" w:color="000000"/>
            </w:tcBorders>
          </w:tcPr>
          <w:p w:rsidR="008517B1" w:rsidRDefault="008517B1">
            <w:pPr>
              <w:pStyle w:val="TableParagraph"/>
            </w:pPr>
          </w:p>
        </w:tc>
        <w:tc>
          <w:tcPr>
            <w:tcW w:w="1681" w:type="dxa"/>
          </w:tcPr>
          <w:p w:rsidR="008517B1" w:rsidRDefault="008517B1">
            <w:pPr>
              <w:pStyle w:val="TableParagraph"/>
            </w:pPr>
          </w:p>
        </w:tc>
        <w:tc>
          <w:tcPr>
            <w:tcW w:w="1902" w:type="dxa"/>
          </w:tcPr>
          <w:p w:rsidR="008517B1" w:rsidRDefault="008517B1">
            <w:pPr>
              <w:pStyle w:val="TableParagraph"/>
            </w:pPr>
          </w:p>
        </w:tc>
      </w:tr>
      <w:tr w:rsidR="008517B1" w:rsidTr="009A7348">
        <w:trPr>
          <w:trHeight w:val="822"/>
        </w:trPr>
        <w:tc>
          <w:tcPr>
            <w:tcW w:w="52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6</w:t>
            </w:r>
          </w:p>
        </w:tc>
        <w:tc>
          <w:tcPr>
            <w:tcW w:w="1779"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20" w:line="276" w:lineRule="auto"/>
              <w:ind w:left="109" w:right="568"/>
              <w:rPr>
                <w:b/>
              </w:rPr>
            </w:pPr>
            <w:r w:rsidRPr="009A7348">
              <w:rPr>
                <w:b/>
              </w:rPr>
              <w:t>Междинна сума</w:t>
            </w:r>
          </w:p>
        </w:tc>
        <w:tc>
          <w:tcPr>
            <w:tcW w:w="1601" w:type="dxa"/>
            <w:tcBorders>
              <w:left w:val="single" w:sz="6" w:space="0" w:color="000000"/>
            </w:tcBorders>
          </w:tcPr>
          <w:p w:rsidR="008517B1" w:rsidRDefault="008517B1">
            <w:pPr>
              <w:pStyle w:val="TableParagraph"/>
            </w:pPr>
          </w:p>
        </w:tc>
        <w:tc>
          <w:tcPr>
            <w:tcW w:w="1681" w:type="dxa"/>
          </w:tcPr>
          <w:p w:rsidR="008517B1" w:rsidRDefault="008517B1">
            <w:pPr>
              <w:pStyle w:val="TableParagraph"/>
            </w:pPr>
          </w:p>
        </w:tc>
        <w:tc>
          <w:tcPr>
            <w:tcW w:w="1902" w:type="dxa"/>
          </w:tcPr>
          <w:p w:rsidR="008517B1" w:rsidRDefault="008517B1">
            <w:pPr>
              <w:pStyle w:val="TableParagraph"/>
            </w:pPr>
          </w:p>
        </w:tc>
      </w:tr>
      <w:tr w:rsidR="008517B1" w:rsidTr="009A7348">
        <w:trPr>
          <w:trHeight w:val="532"/>
        </w:trPr>
        <w:tc>
          <w:tcPr>
            <w:tcW w:w="52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7</w:t>
            </w:r>
          </w:p>
        </w:tc>
        <w:tc>
          <w:tcPr>
            <w:tcW w:w="1779"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09"/>
            </w:pPr>
            <w:r>
              <w:t>(ДДС )</w:t>
            </w:r>
          </w:p>
        </w:tc>
        <w:tc>
          <w:tcPr>
            <w:tcW w:w="1601" w:type="dxa"/>
            <w:tcBorders>
              <w:left w:val="single" w:sz="6" w:space="0" w:color="000000"/>
            </w:tcBorders>
          </w:tcPr>
          <w:p w:rsidR="008517B1" w:rsidRDefault="008517B1">
            <w:pPr>
              <w:pStyle w:val="TableParagraph"/>
            </w:pPr>
          </w:p>
        </w:tc>
        <w:tc>
          <w:tcPr>
            <w:tcW w:w="1681" w:type="dxa"/>
          </w:tcPr>
          <w:p w:rsidR="008517B1" w:rsidRDefault="008517B1">
            <w:pPr>
              <w:pStyle w:val="TableParagraph"/>
            </w:pPr>
          </w:p>
        </w:tc>
        <w:tc>
          <w:tcPr>
            <w:tcW w:w="1902" w:type="dxa"/>
          </w:tcPr>
          <w:p w:rsidR="008517B1" w:rsidRDefault="008517B1">
            <w:pPr>
              <w:pStyle w:val="TableParagraph"/>
            </w:pPr>
          </w:p>
        </w:tc>
      </w:tr>
      <w:tr w:rsidR="008517B1" w:rsidTr="009A7348">
        <w:trPr>
          <w:trHeight w:val="530"/>
        </w:trPr>
        <w:tc>
          <w:tcPr>
            <w:tcW w:w="52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3"/>
              <w:ind w:left="110"/>
            </w:pPr>
            <w:r>
              <w:lastRenderedPageBreak/>
              <w:t>8</w:t>
            </w:r>
          </w:p>
        </w:tc>
        <w:tc>
          <w:tcPr>
            <w:tcW w:w="1779"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18"/>
              <w:ind w:left="109"/>
              <w:rPr>
                <w:b/>
              </w:rPr>
            </w:pPr>
            <w:r w:rsidRPr="009A7348">
              <w:rPr>
                <w:b/>
              </w:rPr>
              <w:t>ОБЩО</w:t>
            </w:r>
          </w:p>
        </w:tc>
        <w:tc>
          <w:tcPr>
            <w:tcW w:w="1601" w:type="dxa"/>
            <w:tcBorders>
              <w:left w:val="single" w:sz="6" w:space="0" w:color="000000"/>
            </w:tcBorders>
          </w:tcPr>
          <w:p w:rsidR="008517B1" w:rsidRDefault="008517B1">
            <w:pPr>
              <w:pStyle w:val="TableParagraph"/>
            </w:pPr>
          </w:p>
        </w:tc>
        <w:tc>
          <w:tcPr>
            <w:tcW w:w="1681" w:type="dxa"/>
          </w:tcPr>
          <w:p w:rsidR="008517B1" w:rsidRDefault="008517B1">
            <w:pPr>
              <w:pStyle w:val="TableParagraph"/>
            </w:pPr>
          </w:p>
        </w:tc>
        <w:tc>
          <w:tcPr>
            <w:tcW w:w="1902" w:type="dxa"/>
          </w:tcPr>
          <w:p w:rsidR="008517B1" w:rsidRDefault="008517B1">
            <w:pPr>
              <w:pStyle w:val="TableParagraph"/>
            </w:pPr>
          </w:p>
        </w:tc>
      </w:tr>
    </w:tbl>
    <w:p w:rsidR="008517B1" w:rsidRPr="00977A76" w:rsidRDefault="008517B1">
      <w:pPr>
        <w:spacing w:before="232"/>
        <w:ind w:left="332"/>
        <w:rPr>
          <w:b/>
          <w:lang w:val="ru-RU"/>
        </w:rPr>
      </w:pPr>
      <w:r w:rsidRPr="00977A76">
        <w:rPr>
          <w:b/>
          <w:lang w:val="ru-RU"/>
        </w:rPr>
        <w:t>ТАБЛИЦА 2 Изчисляване на общия размер на допустимите разходи</w:t>
      </w:r>
    </w:p>
    <w:p w:rsidR="008517B1" w:rsidRPr="00977A76" w:rsidRDefault="008517B1">
      <w:pPr>
        <w:pStyle w:val="a5"/>
        <w:spacing w:before="8" w:after="1"/>
        <w:ind w:left="0"/>
        <w:rPr>
          <w:b/>
          <w:sz w:val="13"/>
          <w:lang w:val="ru-RU"/>
        </w:rPr>
      </w:pPr>
    </w:p>
    <w:tbl>
      <w:tblPr>
        <w:tblW w:w="0" w:type="auto"/>
        <w:tblInd w:w="2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60"/>
        <w:gridCol w:w="4681"/>
        <w:gridCol w:w="1880"/>
      </w:tblGrid>
      <w:tr w:rsidR="008517B1" w:rsidTr="009A7348">
        <w:trPr>
          <w:trHeight w:val="556"/>
        </w:trPr>
        <w:tc>
          <w:tcPr>
            <w:tcW w:w="960" w:type="dxa"/>
          </w:tcPr>
          <w:p w:rsidR="008517B1" w:rsidRPr="009A7348" w:rsidRDefault="008517B1">
            <w:pPr>
              <w:pStyle w:val="TableParagraph"/>
              <w:rPr>
                <w:lang w:val="ru-RU"/>
              </w:rPr>
            </w:pPr>
          </w:p>
        </w:tc>
        <w:tc>
          <w:tcPr>
            <w:tcW w:w="4681" w:type="dxa"/>
            <w:tcBorders>
              <w:bottom w:val="single" w:sz="6" w:space="0" w:color="000000"/>
              <w:right w:val="single" w:sz="6" w:space="0" w:color="000000"/>
            </w:tcBorders>
          </w:tcPr>
          <w:p w:rsidR="008517B1" w:rsidRPr="009A7348" w:rsidRDefault="008517B1">
            <w:pPr>
              <w:pStyle w:val="TableParagraph"/>
              <w:rPr>
                <w:lang w:val="ru-RU"/>
              </w:rPr>
            </w:pPr>
          </w:p>
        </w:tc>
        <w:tc>
          <w:tcPr>
            <w:tcW w:w="1880" w:type="dxa"/>
            <w:tcBorders>
              <w:left w:val="single" w:sz="6" w:space="0" w:color="000000"/>
              <w:bottom w:val="single" w:sz="6" w:space="0" w:color="000000"/>
            </w:tcBorders>
          </w:tcPr>
          <w:p w:rsidR="008517B1" w:rsidRPr="009A7348" w:rsidRDefault="008517B1" w:rsidP="009A7348">
            <w:pPr>
              <w:pStyle w:val="TableParagraph"/>
              <w:spacing w:before="118"/>
              <w:ind w:left="110"/>
              <w:rPr>
                <w:b/>
              </w:rPr>
            </w:pPr>
            <w:r w:rsidRPr="009A7348">
              <w:rPr>
                <w:b/>
              </w:rPr>
              <w:t>Стойност</w:t>
            </w:r>
          </w:p>
        </w:tc>
      </w:tr>
      <w:tr w:rsidR="008517B1" w:rsidRPr="00F765EF" w:rsidTr="009A7348">
        <w:trPr>
          <w:trHeight w:val="820"/>
        </w:trPr>
        <w:tc>
          <w:tcPr>
            <w:tcW w:w="960" w:type="dxa"/>
            <w:tcBorders>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1</w:t>
            </w:r>
          </w:p>
        </w:tc>
        <w:tc>
          <w:tcPr>
            <w:tcW w:w="4681"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16" w:line="276" w:lineRule="auto"/>
              <w:ind w:left="110" w:right="111"/>
              <w:rPr>
                <w:lang w:val="ru-RU"/>
              </w:rPr>
            </w:pPr>
            <w:r w:rsidRPr="009A7348">
              <w:rPr>
                <w:lang w:val="ru-RU"/>
              </w:rPr>
              <w:t>Общ размер на допустимите разходи (в евро, без дисконтиране)</w:t>
            </w:r>
          </w:p>
        </w:tc>
        <w:tc>
          <w:tcPr>
            <w:tcW w:w="1880" w:type="dxa"/>
            <w:tcBorders>
              <w:top w:val="single" w:sz="6" w:space="0" w:color="000000"/>
              <w:left w:val="single" w:sz="6" w:space="0" w:color="000000"/>
            </w:tcBorders>
          </w:tcPr>
          <w:p w:rsidR="008517B1" w:rsidRPr="009A7348" w:rsidRDefault="008517B1">
            <w:pPr>
              <w:pStyle w:val="TableParagraph"/>
              <w:rPr>
                <w:lang w:val="ru-RU"/>
              </w:rPr>
            </w:pPr>
          </w:p>
        </w:tc>
      </w:tr>
      <w:tr w:rsidR="008517B1" w:rsidRPr="00F765EF" w:rsidTr="009A7348">
        <w:trPr>
          <w:trHeight w:val="1115"/>
        </w:trPr>
        <w:tc>
          <w:tcPr>
            <w:tcW w:w="960"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8"/>
              <w:ind w:left="110"/>
            </w:pPr>
            <w:r>
              <w:t>2</w:t>
            </w:r>
          </w:p>
        </w:tc>
        <w:tc>
          <w:tcPr>
            <w:tcW w:w="4681"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18" w:line="276" w:lineRule="auto"/>
              <w:ind w:left="110" w:right="111"/>
              <w:rPr>
                <w:lang w:val="ru-RU"/>
              </w:rPr>
            </w:pPr>
            <w:r w:rsidRPr="009A7348">
              <w:rPr>
                <w:lang w:val="ru-RU"/>
              </w:rPr>
              <w:t>Пропорционално прилагане на дисконтираните нетни приходи (в процентно изражение) (ако е приложимо = Таблица 3;</w:t>
            </w:r>
            <w:r w:rsidRPr="009A7348">
              <w:rPr>
                <w:spacing w:val="-17"/>
                <w:lang w:val="ru-RU"/>
              </w:rPr>
              <w:t xml:space="preserve"> </w:t>
            </w:r>
            <w:r w:rsidRPr="009A7348">
              <w:rPr>
                <w:lang w:val="ru-RU"/>
              </w:rPr>
              <w:t>т.9)</w:t>
            </w:r>
          </w:p>
        </w:tc>
        <w:tc>
          <w:tcPr>
            <w:tcW w:w="1880" w:type="dxa"/>
            <w:tcBorders>
              <w:left w:val="single" w:sz="6" w:space="0" w:color="000000"/>
            </w:tcBorders>
          </w:tcPr>
          <w:p w:rsidR="008517B1" w:rsidRPr="009A7348" w:rsidRDefault="008517B1">
            <w:pPr>
              <w:pStyle w:val="TableParagraph"/>
              <w:rPr>
                <w:lang w:val="ru-RU"/>
              </w:rPr>
            </w:pPr>
          </w:p>
        </w:tc>
      </w:tr>
    </w:tbl>
    <w:p w:rsidR="008517B1" w:rsidRDefault="008517B1">
      <w:pPr>
        <w:ind w:left="216"/>
        <w:rPr>
          <w:sz w:val="20"/>
        </w:rPr>
      </w:pPr>
      <w:r w:rsidRPr="00977A76">
        <w:rPr>
          <w:spacing w:val="-50"/>
          <w:sz w:val="20"/>
          <w:lang w:val="ru-RU"/>
        </w:rPr>
        <w:t xml:space="preserve"> </w:t>
      </w:r>
      <w:r w:rsidR="00283A43">
        <w:rPr>
          <w:spacing w:val="-50"/>
          <w:position w:val="1"/>
          <w:sz w:val="20"/>
        </w:rPr>
      </w:r>
      <w:r w:rsidR="00283A43">
        <w:rPr>
          <w:spacing w:val="-50"/>
          <w:position w:val="1"/>
          <w:sz w:val="20"/>
        </w:rPr>
        <w:pict>
          <v:group id="_x0000_s1042" style="width:376.9pt;height:42.05pt;mso-position-horizontal-relative:char;mso-position-vertical-relative:line" coordsize="7538,841">
            <v:line id="_x0000_s1043" style="position:absolute" from="7,0" to="7,836" strokeweight=".72pt"/>
            <v:line id="_x0000_s1044" style="position:absolute" from="14,828" to="960,828" strokeweight=".72pt"/>
            <v:line id="_x0000_s1045" style="position:absolute" from="967,0" to="967,836" strokeweight=".72pt"/>
            <v:line id="_x0000_s1046" style="position:absolute" from="974,828" to="5641,828" strokeweight=".72pt"/>
            <v:line id="_x0000_s1047" style="position:absolute" from="5648,0" to="5648,836" strokeweight=".72pt"/>
            <v:line id="_x0000_s1048" style="position:absolute" from="5655,831" to="7518,831" strokeweight=".96pt"/>
            <v:line id="_x0000_s1049" style="position:absolute" from="7528,0" to="7528,840" strokeweight=".96pt"/>
            <v:shape id="_x0000_s1050" type="#_x0000_t202" style="position:absolute;left:115;top:122;width:131;height:245" filled="f" stroked="f">
              <v:textbox inset="0,0,0,0">
                <w:txbxContent>
                  <w:p w:rsidR="008517B1" w:rsidRDefault="008517B1">
                    <w:pPr>
                      <w:spacing w:line="244" w:lineRule="exact"/>
                    </w:pPr>
                    <w:r>
                      <w:t>3</w:t>
                    </w:r>
                  </w:p>
                </w:txbxContent>
              </v:textbox>
            </v:shape>
            <v:shape id="_x0000_s1051" type="#_x0000_t202" style="position:absolute;left:1075;top:122;width:4337;height:535" filled="f" stroked="f">
              <v:textbox inset="0,0,0,0">
                <w:txbxContent>
                  <w:p w:rsidR="008517B1" w:rsidRPr="00977A76" w:rsidRDefault="008517B1">
                    <w:pPr>
                      <w:spacing w:line="244" w:lineRule="exact"/>
                      <w:rPr>
                        <w:lang w:val="ru-RU"/>
                      </w:rPr>
                    </w:pPr>
                    <w:r w:rsidRPr="00977A76">
                      <w:rPr>
                        <w:lang w:val="ru-RU"/>
                      </w:rPr>
                      <w:t>Максимален Размер на Допустимите разходи,</w:t>
                    </w:r>
                  </w:p>
                  <w:p w:rsidR="008517B1" w:rsidRDefault="008517B1">
                    <w:pPr>
                      <w:spacing w:before="37"/>
                    </w:pPr>
                    <w:r>
                      <w:t>подлежащи на финансиране = (1) * (2)</w:t>
                    </w:r>
                  </w:p>
                </w:txbxContent>
              </v:textbox>
            </v:shape>
            <w10:anchorlock/>
          </v:group>
        </w:pict>
      </w:r>
    </w:p>
    <w:p w:rsidR="008517B1" w:rsidRDefault="008517B1">
      <w:pPr>
        <w:pStyle w:val="a5"/>
        <w:ind w:left="0"/>
        <w:rPr>
          <w:b/>
        </w:rPr>
      </w:pPr>
    </w:p>
    <w:p w:rsidR="008517B1" w:rsidRPr="00977A76" w:rsidRDefault="008517B1">
      <w:pPr>
        <w:spacing w:before="208" w:line="276" w:lineRule="auto"/>
        <w:ind w:left="332" w:right="442"/>
        <w:rPr>
          <w:b/>
          <w:lang w:val="ru-RU"/>
        </w:rPr>
      </w:pPr>
      <w:r w:rsidRPr="00977A76">
        <w:rPr>
          <w:b/>
          <w:lang w:val="ru-RU"/>
        </w:rPr>
        <w:t>ТАБЛИЦА 3 Основни елементи и параметри, използвани за финансовия анализ (всички стойности са посочени в евро)</w:t>
      </w:r>
    </w:p>
    <w:p w:rsidR="008517B1" w:rsidRPr="00977A76" w:rsidRDefault="008517B1">
      <w:pPr>
        <w:pStyle w:val="a5"/>
        <w:spacing w:before="9"/>
        <w:ind w:left="0"/>
        <w:rPr>
          <w:b/>
          <w:sz w:val="10"/>
          <w:lang w:val="ru-RU"/>
        </w:rPr>
      </w:pPr>
    </w:p>
    <w:tbl>
      <w:tblPr>
        <w:tblW w:w="0" w:type="auto"/>
        <w:tblInd w:w="2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
        <w:gridCol w:w="2151"/>
        <w:gridCol w:w="1608"/>
        <w:gridCol w:w="1916"/>
        <w:gridCol w:w="2915"/>
      </w:tblGrid>
      <w:tr w:rsidR="008517B1" w:rsidTr="009A7348">
        <w:trPr>
          <w:trHeight w:val="817"/>
        </w:trPr>
        <w:tc>
          <w:tcPr>
            <w:tcW w:w="516" w:type="dxa"/>
          </w:tcPr>
          <w:p w:rsidR="008517B1" w:rsidRPr="009A7348" w:rsidRDefault="008517B1">
            <w:pPr>
              <w:pStyle w:val="TableParagraph"/>
              <w:rPr>
                <w:lang w:val="ru-RU"/>
              </w:rPr>
            </w:pPr>
          </w:p>
        </w:tc>
        <w:tc>
          <w:tcPr>
            <w:tcW w:w="2151" w:type="dxa"/>
            <w:tcBorders>
              <w:bottom w:val="single" w:sz="6" w:space="0" w:color="000000"/>
              <w:right w:val="single" w:sz="6" w:space="0" w:color="000000"/>
            </w:tcBorders>
          </w:tcPr>
          <w:p w:rsidR="008517B1" w:rsidRPr="009A7348" w:rsidRDefault="008517B1" w:rsidP="009A7348">
            <w:pPr>
              <w:pStyle w:val="TableParagraph"/>
              <w:spacing w:before="118" w:line="276" w:lineRule="auto"/>
              <w:ind w:left="107" w:right="59"/>
              <w:rPr>
                <w:b/>
              </w:rPr>
            </w:pPr>
            <w:r w:rsidRPr="009A7348">
              <w:rPr>
                <w:b/>
              </w:rPr>
              <w:t>Основни елементи и параметри</w:t>
            </w:r>
          </w:p>
        </w:tc>
        <w:tc>
          <w:tcPr>
            <w:tcW w:w="1608" w:type="dxa"/>
            <w:tcBorders>
              <w:left w:val="single" w:sz="6" w:space="0" w:color="000000"/>
              <w:bottom w:val="single" w:sz="6" w:space="0" w:color="000000"/>
              <w:right w:val="single" w:sz="6" w:space="0" w:color="000000"/>
            </w:tcBorders>
          </w:tcPr>
          <w:p w:rsidR="008517B1" w:rsidRPr="009A7348" w:rsidRDefault="008517B1" w:rsidP="009A7348">
            <w:pPr>
              <w:pStyle w:val="TableParagraph"/>
              <w:spacing w:before="118"/>
              <w:ind w:left="110"/>
              <w:rPr>
                <w:b/>
              </w:rPr>
            </w:pPr>
            <w:r w:rsidRPr="009A7348">
              <w:rPr>
                <w:b/>
              </w:rPr>
              <w:t>Стойност</w:t>
            </w:r>
          </w:p>
        </w:tc>
        <w:tc>
          <w:tcPr>
            <w:tcW w:w="4831" w:type="dxa"/>
            <w:gridSpan w:val="2"/>
            <w:vMerge w:val="restart"/>
          </w:tcPr>
          <w:p w:rsidR="008517B1" w:rsidRDefault="008517B1">
            <w:pPr>
              <w:pStyle w:val="TableParagraph"/>
            </w:pPr>
          </w:p>
        </w:tc>
      </w:tr>
      <w:tr w:rsidR="008517B1" w:rsidTr="009A7348">
        <w:trPr>
          <w:trHeight w:val="822"/>
        </w:trPr>
        <w:tc>
          <w:tcPr>
            <w:tcW w:w="516" w:type="dxa"/>
            <w:tcBorders>
              <w:left w:val="single" w:sz="6" w:space="0" w:color="000000"/>
              <w:bottom w:val="single" w:sz="6" w:space="0" w:color="000000"/>
              <w:right w:val="single" w:sz="6" w:space="0" w:color="000000"/>
            </w:tcBorders>
          </w:tcPr>
          <w:p w:rsidR="008517B1" w:rsidRDefault="008517B1" w:rsidP="009A7348">
            <w:pPr>
              <w:pStyle w:val="TableParagraph"/>
              <w:spacing w:before="118"/>
              <w:ind w:left="110"/>
            </w:pPr>
            <w:r>
              <w:t>1</w:t>
            </w:r>
          </w:p>
        </w:tc>
        <w:tc>
          <w:tcPr>
            <w:tcW w:w="215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8" w:line="276" w:lineRule="auto"/>
              <w:ind w:left="110" w:right="120"/>
            </w:pPr>
            <w:r>
              <w:t>Референтен период (в години)</w:t>
            </w:r>
          </w:p>
        </w:tc>
        <w:tc>
          <w:tcPr>
            <w:tcW w:w="1608" w:type="dxa"/>
            <w:tcBorders>
              <w:top w:val="single" w:sz="6" w:space="0" w:color="000000"/>
              <w:left w:val="single" w:sz="6" w:space="0" w:color="000000"/>
            </w:tcBorders>
          </w:tcPr>
          <w:p w:rsidR="008517B1" w:rsidRDefault="008517B1">
            <w:pPr>
              <w:pStyle w:val="TableParagraph"/>
            </w:pPr>
          </w:p>
        </w:tc>
        <w:tc>
          <w:tcPr>
            <w:tcW w:w="4831" w:type="dxa"/>
            <w:gridSpan w:val="2"/>
            <w:vMerge/>
            <w:tcBorders>
              <w:top w:val="nil"/>
            </w:tcBorders>
          </w:tcPr>
          <w:p w:rsidR="008517B1" w:rsidRPr="009A7348" w:rsidRDefault="008517B1">
            <w:pPr>
              <w:rPr>
                <w:sz w:val="2"/>
                <w:szCs w:val="2"/>
              </w:rPr>
            </w:pPr>
          </w:p>
        </w:tc>
      </w:tr>
      <w:tr w:rsidR="008517B1" w:rsidTr="009A7348">
        <w:trPr>
          <w:trHeight w:val="858"/>
        </w:trPr>
        <w:tc>
          <w:tcPr>
            <w:tcW w:w="516"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8"/>
              <w:ind w:left="110"/>
            </w:pPr>
            <w:r>
              <w:t>2</w:t>
            </w:r>
          </w:p>
        </w:tc>
        <w:tc>
          <w:tcPr>
            <w:tcW w:w="2151" w:type="dxa"/>
            <w:tcBorders>
              <w:top w:val="single" w:sz="6" w:space="0" w:color="000000"/>
              <w:left w:val="single" w:sz="6" w:space="0" w:color="000000"/>
              <w:bottom w:val="single" w:sz="6" w:space="0" w:color="000000"/>
              <w:right w:val="single" w:sz="6" w:space="0" w:color="000000"/>
            </w:tcBorders>
          </w:tcPr>
          <w:p w:rsidR="008517B1" w:rsidRPr="009A7348" w:rsidRDefault="00283A43" w:rsidP="009A7348">
            <w:pPr>
              <w:pStyle w:val="TableParagraph"/>
              <w:tabs>
                <w:tab w:val="left" w:pos="1441"/>
              </w:tabs>
              <w:spacing w:before="121" w:line="273" w:lineRule="auto"/>
              <w:ind w:left="110" w:right="89"/>
              <w:rPr>
                <w:rFonts w:ascii="Calibri" w:hAnsi="Calibri"/>
              </w:rPr>
            </w:pPr>
            <w:hyperlink r:id="rId11">
              <w:r w:rsidR="008517B1" w:rsidRPr="009A7348">
                <w:rPr>
                  <w:color w:val="0000FF"/>
                  <w:spacing w:val="-56"/>
                  <w:u w:val="single" w:color="0000FF"/>
                </w:rPr>
                <w:t xml:space="preserve"> </w:t>
              </w:r>
              <w:r w:rsidR="008517B1" w:rsidRPr="009A7348">
                <w:rPr>
                  <w:rFonts w:ascii="Calibri" w:hAnsi="Calibri"/>
                  <w:color w:val="0000FF"/>
                  <w:u w:val="single" w:color="0000FF"/>
                </w:rPr>
                <w:t>Дисконтова</w:t>
              </w:r>
              <w:r w:rsidR="008517B1" w:rsidRPr="009A7348">
                <w:rPr>
                  <w:rFonts w:ascii="Calibri" w:hAnsi="Calibri"/>
                  <w:color w:val="0000FF"/>
                  <w:u w:val="single" w:color="0000FF"/>
                </w:rPr>
                <w:tab/>
              </w:r>
              <w:r w:rsidR="008517B1" w:rsidRPr="009A7348">
                <w:rPr>
                  <w:rFonts w:ascii="Calibri" w:hAnsi="Calibri"/>
                  <w:color w:val="0000FF"/>
                  <w:spacing w:val="-1"/>
                  <w:u w:val="single" w:color="0000FF"/>
                </w:rPr>
                <w:t>норма</w:t>
              </w:r>
            </w:hyperlink>
            <w:r w:rsidR="008517B1" w:rsidRPr="009A7348">
              <w:rPr>
                <w:rFonts w:ascii="Calibri" w:hAnsi="Calibri"/>
                <w:color w:val="0000FF"/>
                <w:spacing w:val="-1"/>
              </w:rPr>
              <w:t xml:space="preserve"> </w:t>
            </w:r>
            <w:hyperlink r:id="rId12">
              <w:r w:rsidR="008517B1" w:rsidRPr="009A7348">
                <w:rPr>
                  <w:rFonts w:ascii="Calibri" w:hAnsi="Calibri"/>
                  <w:color w:val="0000FF"/>
                  <w:u w:val="single" w:color="0000FF"/>
                </w:rPr>
                <w:t>(%)</w:t>
              </w:r>
            </w:hyperlink>
          </w:p>
        </w:tc>
        <w:tc>
          <w:tcPr>
            <w:tcW w:w="1608" w:type="dxa"/>
            <w:tcBorders>
              <w:left w:val="single" w:sz="6" w:space="0" w:color="000000"/>
            </w:tcBorders>
          </w:tcPr>
          <w:p w:rsidR="008517B1" w:rsidRDefault="008517B1">
            <w:pPr>
              <w:pStyle w:val="TableParagraph"/>
            </w:pPr>
          </w:p>
        </w:tc>
        <w:tc>
          <w:tcPr>
            <w:tcW w:w="4831" w:type="dxa"/>
            <w:gridSpan w:val="2"/>
            <w:vMerge/>
            <w:tcBorders>
              <w:top w:val="nil"/>
            </w:tcBorders>
          </w:tcPr>
          <w:p w:rsidR="008517B1" w:rsidRPr="009A7348" w:rsidRDefault="008517B1">
            <w:pPr>
              <w:rPr>
                <w:sz w:val="2"/>
                <w:szCs w:val="2"/>
              </w:rPr>
            </w:pPr>
          </w:p>
        </w:tc>
      </w:tr>
      <w:tr w:rsidR="008517B1" w:rsidTr="009A7348">
        <w:trPr>
          <w:trHeight w:val="1405"/>
        </w:trPr>
        <w:tc>
          <w:tcPr>
            <w:tcW w:w="516" w:type="dxa"/>
            <w:tcBorders>
              <w:top w:val="single" w:sz="6" w:space="0" w:color="000000"/>
              <w:left w:val="single" w:sz="6" w:space="0" w:color="000000"/>
              <w:bottom w:val="single" w:sz="6" w:space="0" w:color="000000"/>
              <w:right w:val="single" w:sz="6" w:space="0" w:color="000000"/>
            </w:tcBorders>
          </w:tcPr>
          <w:p w:rsidR="008517B1" w:rsidRDefault="008517B1">
            <w:pPr>
              <w:pStyle w:val="TableParagraph"/>
            </w:pPr>
          </w:p>
        </w:tc>
        <w:tc>
          <w:tcPr>
            <w:tcW w:w="2151"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20" w:line="278" w:lineRule="auto"/>
              <w:ind w:left="110" w:right="120"/>
              <w:rPr>
                <w:b/>
              </w:rPr>
            </w:pPr>
            <w:r w:rsidRPr="009A7348">
              <w:rPr>
                <w:b/>
              </w:rPr>
              <w:t>Основни елементи и параметри</w:t>
            </w:r>
          </w:p>
        </w:tc>
        <w:tc>
          <w:tcPr>
            <w:tcW w:w="1608" w:type="dxa"/>
            <w:tcBorders>
              <w:left w:val="single" w:sz="6" w:space="0" w:color="000000"/>
              <w:bottom w:val="single" w:sz="6" w:space="0" w:color="000000"/>
            </w:tcBorders>
          </w:tcPr>
          <w:p w:rsidR="008517B1" w:rsidRPr="009A7348" w:rsidRDefault="008517B1" w:rsidP="009A7348">
            <w:pPr>
              <w:pStyle w:val="TableParagraph"/>
              <w:spacing w:before="120" w:line="278" w:lineRule="auto"/>
              <w:ind w:left="110" w:right="69"/>
              <w:rPr>
                <w:b/>
              </w:rPr>
            </w:pPr>
            <w:r w:rsidRPr="009A7348">
              <w:rPr>
                <w:b/>
              </w:rPr>
              <w:t>Стойност без дисконтиране</w:t>
            </w:r>
          </w:p>
        </w:tc>
        <w:tc>
          <w:tcPr>
            <w:tcW w:w="1916" w:type="dxa"/>
            <w:tcBorders>
              <w:bottom w:val="single" w:sz="6" w:space="0" w:color="000000"/>
              <w:right w:val="single" w:sz="6" w:space="0" w:color="000000"/>
            </w:tcBorders>
          </w:tcPr>
          <w:p w:rsidR="008517B1" w:rsidRPr="009A7348" w:rsidRDefault="008517B1" w:rsidP="009A7348">
            <w:pPr>
              <w:pStyle w:val="TableParagraph"/>
              <w:spacing w:before="120" w:line="276" w:lineRule="auto"/>
              <w:ind w:left="107"/>
              <w:rPr>
                <w:b/>
                <w:lang w:val="ru-RU"/>
              </w:rPr>
            </w:pPr>
            <w:r w:rsidRPr="009A7348">
              <w:rPr>
                <w:b/>
                <w:lang w:val="ru-RU"/>
              </w:rPr>
              <w:t>Дисконтирана стойност (нетна настояща стойност)</w:t>
            </w:r>
          </w:p>
        </w:tc>
        <w:tc>
          <w:tcPr>
            <w:tcW w:w="2915" w:type="dxa"/>
            <w:tcBorders>
              <w:left w:val="single" w:sz="6" w:space="0" w:color="000000"/>
            </w:tcBorders>
          </w:tcPr>
          <w:p w:rsidR="008517B1" w:rsidRPr="009A7348" w:rsidRDefault="008517B1" w:rsidP="009A7348">
            <w:pPr>
              <w:pStyle w:val="TableParagraph"/>
              <w:spacing w:before="120" w:line="278" w:lineRule="auto"/>
              <w:ind w:left="112" w:right="129"/>
              <w:rPr>
                <w:b/>
                <w:lang w:val="ru-RU"/>
              </w:rPr>
            </w:pPr>
            <w:r w:rsidRPr="009A7348">
              <w:rPr>
                <w:b/>
                <w:lang w:val="ru-RU"/>
              </w:rPr>
              <w:t>Позоваване на документа с финансовия анализ</w:t>
            </w:r>
          </w:p>
          <w:p w:rsidR="008517B1" w:rsidRPr="009A7348" w:rsidRDefault="008517B1" w:rsidP="009A7348">
            <w:pPr>
              <w:pStyle w:val="TableParagraph"/>
              <w:spacing w:before="9"/>
              <w:rPr>
                <w:b/>
                <w:sz w:val="24"/>
                <w:lang w:val="ru-RU"/>
              </w:rPr>
            </w:pPr>
          </w:p>
          <w:p w:rsidR="008517B1" w:rsidRPr="009A7348" w:rsidRDefault="008517B1" w:rsidP="009A7348">
            <w:pPr>
              <w:pStyle w:val="TableParagraph"/>
              <w:spacing w:before="1"/>
              <w:ind w:left="112"/>
              <w:rPr>
                <w:b/>
              </w:rPr>
            </w:pPr>
            <w:r w:rsidRPr="009A7348">
              <w:rPr>
                <w:b/>
              </w:rPr>
              <w:t>(глава/раздел/страница)</w:t>
            </w:r>
          </w:p>
        </w:tc>
      </w:tr>
      <w:tr w:rsidR="008517B1" w:rsidRPr="00F765EF" w:rsidTr="009A7348">
        <w:trPr>
          <w:trHeight w:val="1694"/>
        </w:trPr>
        <w:tc>
          <w:tcPr>
            <w:tcW w:w="516"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3</w:t>
            </w:r>
          </w:p>
        </w:tc>
        <w:tc>
          <w:tcPr>
            <w:tcW w:w="2151" w:type="dxa"/>
            <w:tcBorders>
              <w:top w:val="single" w:sz="6" w:space="0" w:color="000000"/>
              <w:left w:val="single" w:sz="6" w:space="0" w:color="000000"/>
              <w:bottom w:val="single" w:sz="6" w:space="0" w:color="000000"/>
              <w:right w:val="single" w:sz="6" w:space="0" w:color="000000"/>
            </w:tcBorders>
          </w:tcPr>
          <w:p w:rsidR="008517B1" w:rsidRPr="009A7348" w:rsidRDefault="008517B1" w:rsidP="009A7348">
            <w:pPr>
              <w:pStyle w:val="TableParagraph"/>
              <w:spacing w:before="116" w:line="276" w:lineRule="auto"/>
              <w:ind w:left="110" w:right="365"/>
              <w:rPr>
                <w:lang w:val="ru-RU"/>
              </w:rPr>
            </w:pPr>
            <w:r w:rsidRPr="009A7348">
              <w:rPr>
                <w:lang w:val="ru-RU"/>
              </w:rPr>
              <w:t>Общ размер на инвестиционните разходи без непредвидени разходи</w:t>
            </w:r>
          </w:p>
        </w:tc>
        <w:tc>
          <w:tcPr>
            <w:tcW w:w="1608" w:type="dxa"/>
            <w:tcBorders>
              <w:top w:val="single" w:sz="6" w:space="0" w:color="000000"/>
              <w:left w:val="single" w:sz="6" w:space="0" w:color="000000"/>
            </w:tcBorders>
          </w:tcPr>
          <w:p w:rsidR="008517B1" w:rsidRPr="009A7348" w:rsidRDefault="008517B1">
            <w:pPr>
              <w:pStyle w:val="TableParagraph"/>
              <w:rPr>
                <w:lang w:val="ru-RU"/>
              </w:rPr>
            </w:pPr>
          </w:p>
        </w:tc>
        <w:tc>
          <w:tcPr>
            <w:tcW w:w="1916" w:type="dxa"/>
            <w:tcBorders>
              <w:top w:val="single" w:sz="6" w:space="0" w:color="000000"/>
            </w:tcBorders>
          </w:tcPr>
          <w:p w:rsidR="008517B1" w:rsidRPr="009A7348" w:rsidRDefault="008517B1">
            <w:pPr>
              <w:pStyle w:val="TableParagraph"/>
              <w:rPr>
                <w:lang w:val="ru-RU"/>
              </w:rPr>
            </w:pPr>
          </w:p>
        </w:tc>
        <w:tc>
          <w:tcPr>
            <w:tcW w:w="2915" w:type="dxa"/>
          </w:tcPr>
          <w:p w:rsidR="008517B1" w:rsidRPr="009A7348" w:rsidRDefault="008517B1">
            <w:pPr>
              <w:pStyle w:val="TableParagraph"/>
              <w:rPr>
                <w:lang w:val="ru-RU"/>
              </w:rPr>
            </w:pPr>
          </w:p>
        </w:tc>
      </w:tr>
      <w:tr w:rsidR="008517B1" w:rsidTr="009A7348">
        <w:trPr>
          <w:trHeight w:val="529"/>
        </w:trPr>
        <w:tc>
          <w:tcPr>
            <w:tcW w:w="516"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4</w:t>
            </w:r>
          </w:p>
        </w:tc>
        <w:tc>
          <w:tcPr>
            <w:tcW w:w="215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Остатъчна стойност</w:t>
            </w:r>
          </w:p>
        </w:tc>
        <w:tc>
          <w:tcPr>
            <w:tcW w:w="1608" w:type="dxa"/>
            <w:tcBorders>
              <w:left w:val="single" w:sz="6" w:space="0" w:color="000000"/>
            </w:tcBorders>
          </w:tcPr>
          <w:p w:rsidR="008517B1" w:rsidRDefault="008517B1">
            <w:pPr>
              <w:pStyle w:val="TableParagraph"/>
            </w:pPr>
          </w:p>
        </w:tc>
        <w:tc>
          <w:tcPr>
            <w:tcW w:w="1916" w:type="dxa"/>
          </w:tcPr>
          <w:p w:rsidR="008517B1" w:rsidRDefault="008517B1">
            <w:pPr>
              <w:pStyle w:val="TableParagraph"/>
            </w:pPr>
          </w:p>
        </w:tc>
        <w:tc>
          <w:tcPr>
            <w:tcW w:w="2915" w:type="dxa"/>
          </w:tcPr>
          <w:p w:rsidR="008517B1" w:rsidRDefault="008517B1">
            <w:pPr>
              <w:pStyle w:val="TableParagraph"/>
            </w:pPr>
          </w:p>
        </w:tc>
      </w:tr>
      <w:tr w:rsidR="008517B1" w:rsidTr="009A7348">
        <w:trPr>
          <w:trHeight w:val="558"/>
        </w:trPr>
        <w:tc>
          <w:tcPr>
            <w:tcW w:w="516"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5</w:t>
            </w:r>
          </w:p>
        </w:tc>
        <w:tc>
          <w:tcPr>
            <w:tcW w:w="2151" w:type="dxa"/>
            <w:tcBorders>
              <w:top w:val="single" w:sz="6" w:space="0" w:color="000000"/>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Приходи</w:t>
            </w:r>
          </w:p>
        </w:tc>
        <w:tc>
          <w:tcPr>
            <w:tcW w:w="1608" w:type="dxa"/>
            <w:tcBorders>
              <w:left w:val="single" w:sz="6" w:space="0" w:color="000000"/>
              <w:bottom w:val="single" w:sz="6" w:space="0" w:color="000000"/>
              <w:right w:val="single" w:sz="6" w:space="0" w:color="000000"/>
            </w:tcBorders>
          </w:tcPr>
          <w:p w:rsidR="008517B1" w:rsidRDefault="008517B1">
            <w:pPr>
              <w:pStyle w:val="TableParagraph"/>
            </w:pPr>
          </w:p>
        </w:tc>
        <w:tc>
          <w:tcPr>
            <w:tcW w:w="1916" w:type="dxa"/>
            <w:tcBorders>
              <w:left w:val="single" w:sz="6" w:space="0" w:color="000000"/>
            </w:tcBorders>
          </w:tcPr>
          <w:p w:rsidR="008517B1" w:rsidRDefault="008517B1">
            <w:pPr>
              <w:pStyle w:val="TableParagraph"/>
            </w:pPr>
          </w:p>
        </w:tc>
        <w:tc>
          <w:tcPr>
            <w:tcW w:w="2915" w:type="dxa"/>
          </w:tcPr>
          <w:p w:rsidR="008517B1" w:rsidRDefault="008517B1">
            <w:pPr>
              <w:pStyle w:val="TableParagraph"/>
            </w:pPr>
          </w:p>
        </w:tc>
      </w:tr>
      <w:tr w:rsidR="008517B1" w:rsidRPr="00F765EF" w:rsidTr="009A7348">
        <w:trPr>
          <w:trHeight w:val="1168"/>
        </w:trPr>
        <w:tc>
          <w:tcPr>
            <w:tcW w:w="516" w:type="dxa"/>
            <w:tcBorders>
              <w:top w:val="single" w:sz="6" w:space="0" w:color="000000"/>
              <w:left w:val="single" w:sz="6" w:space="0" w:color="000000"/>
              <w:right w:val="single" w:sz="6" w:space="0" w:color="000000"/>
            </w:tcBorders>
          </w:tcPr>
          <w:p w:rsidR="008517B1" w:rsidRDefault="008517B1" w:rsidP="009A7348">
            <w:pPr>
              <w:pStyle w:val="TableParagraph"/>
              <w:spacing w:before="116"/>
              <w:ind w:left="110"/>
            </w:pPr>
            <w:r>
              <w:lastRenderedPageBreak/>
              <w:t>6</w:t>
            </w:r>
          </w:p>
        </w:tc>
        <w:tc>
          <w:tcPr>
            <w:tcW w:w="2151" w:type="dxa"/>
            <w:tcBorders>
              <w:top w:val="single" w:sz="6" w:space="0" w:color="000000"/>
              <w:left w:val="single" w:sz="6" w:space="0" w:color="000000"/>
              <w:right w:val="single" w:sz="6" w:space="0" w:color="000000"/>
            </w:tcBorders>
          </w:tcPr>
          <w:p w:rsidR="008517B1" w:rsidRPr="009A7348" w:rsidRDefault="00283A43" w:rsidP="009A7348">
            <w:pPr>
              <w:pStyle w:val="TableParagraph"/>
              <w:spacing w:before="119"/>
              <w:ind w:left="110"/>
              <w:rPr>
                <w:rFonts w:ascii="Calibri" w:hAnsi="Calibri"/>
                <w:lang w:val="ru-RU"/>
              </w:rPr>
            </w:pPr>
            <w:hyperlink r:id="rId13">
              <w:r w:rsidR="008517B1" w:rsidRPr="009A7348">
                <w:rPr>
                  <w:color w:val="0000FF"/>
                  <w:spacing w:val="-56"/>
                  <w:u w:val="single" w:color="0000FF"/>
                  <w:lang w:val="ru-RU"/>
                </w:rPr>
                <w:t xml:space="preserve"> </w:t>
              </w:r>
              <w:r w:rsidR="008517B1" w:rsidRPr="009A7348">
                <w:rPr>
                  <w:rFonts w:ascii="Calibri" w:hAnsi="Calibri"/>
                  <w:color w:val="0000FF"/>
                  <w:u w:val="single" w:color="0000FF"/>
                  <w:lang w:val="ru-RU"/>
                </w:rPr>
                <w:t>Оперативни</w:t>
              </w:r>
            </w:hyperlink>
          </w:p>
          <w:p w:rsidR="008517B1" w:rsidRPr="009A7348" w:rsidRDefault="00283A43" w:rsidP="009A7348">
            <w:pPr>
              <w:pStyle w:val="TableParagraph"/>
              <w:spacing w:before="41"/>
              <w:ind w:left="110"/>
              <w:rPr>
                <w:rFonts w:ascii="Calibri" w:hAnsi="Calibri"/>
                <w:lang w:val="ru-RU"/>
              </w:rPr>
            </w:pPr>
            <w:hyperlink r:id="rId14">
              <w:r w:rsidR="008517B1" w:rsidRPr="009A7348">
                <w:rPr>
                  <w:color w:val="0000FF"/>
                  <w:spacing w:val="-56"/>
                  <w:u w:val="single" w:color="0000FF"/>
                  <w:lang w:val="ru-RU"/>
                </w:rPr>
                <w:t xml:space="preserve"> </w:t>
              </w:r>
              <w:r w:rsidR="008517B1" w:rsidRPr="009A7348">
                <w:rPr>
                  <w:rFonts w:ascii="Calibri" w:hAnsi="Calibri"/>
                  <w:color w:val="0000FF"/>
                  <w:u w:val="single" w:color="0000FF"/>
                  <w:lang w:val="ru-RU"/>
                </w:rPr>
                <w:t>разходи и разходи</w:t>
              </w:r>
            </w:hyperlink>
          </w:p>
          <w:p w:rsidR="008517B1" w:rsidRPr="009A7348" w:rsidRDefault="00283A43" w:rsidP="009A7348">
            <w:pPr>
              <w:pStyle w:val="TableParagraph"/>
              <w:spacing w:before="38"/>
              <w:ind w:left="110"/>
              <w:rPr>
                <w:rFonts w:ascii="Calibri" w:hAnsi="Calibri"/>
                <w:lang w:val="ru-RU"/>
              </w:rPr>
            </w:pPr>
            <w:hyperlink r:id="rId15">
              <w:r w:rsidR="008517B1" w:rsidRPr="009A7348">
                <w:rPr>
                  <w:color w:val="0000FF"/>
                  <w:spacing w:val="-56"/>
                  <w:u w:val="single" w:color="0000FF"/>
                  <w:lang w:val="ru-RU"/>
                </w:rPr>
                <w:t xml:space="preserve"> </w:t>
              </w:r>
              <w:r w:rsidR="008517B1" w:rsidRPr="009A7348">
                <w:rPr>
                  <w:rFonts w:ascii="Calibri" w:hAnsi="Calibri"/>
                  <w:color w:val="0000FF"/>
                  <w:u w:val="single" w:color="0000FF"/>
                  <w:lang w:val="ru-RU"/>
                </w:rPr>
                <w:t>за подмяна</w:t>
              </w:r>
            </w:hyperlink>
          </w:p>
        </w:tc>
        <w:tc>
          <w:tcPr>
            <w:tcW w:w="1608" w:type="dxa"/>
            <w:tcBorders>
              <w:top w:val="single" w:sz="6" w:space="0" w:color="000000"/>
              <w:left w:val="single" w:sz="6" w:space="0" w:color="000000"/>
              <w:right w:val="single" w:sz="6" w:space="0" w:color="000000"/>
            </w:tcBorders>
          </w:tcPr>
          <w:p w:rsidR="008517B1" w:rsidRPr="009A7348" w:rsidRDefault="008517B1">
            <w:pPr>
              <w:pStyle w:val="TableParagraph"/>
              <w:rPr>
                <w:lang w:val="ru-RU"/>
              </w:rPr>
            </w:pPr>
          </w:p>
        </w:tc>
        <w:tc>
          <w:tcPr>
            <w:tcW w:w="1916" w:type="dxa"/>
            <w:tcBorders>
              <w:left w:val="single" w:sz="6" w:space="0" w:color="000000"/>
            </w:tcBorders>
          </w:tcPr>
          <w:p w:rsidR="008517B1" w:rsidRPr="009A7348" w:rsidRDefault="008517B1">
            <w:pPr>
              <w:pStyle w:val="TableParagraph"/>
              <w:rPr>
                <w:lang w:val="ru-RU"/>
              </w:rPr>
            </w:pPr>
          </w:p>
        </w:tc>
        <w:tc>
          <w:tcPr>
            <w:tcW w:w="2915" w:type="dxa"/>
          </w:tcPr>
          <w:p w:rsidR="008517B1" w:rsidRPr="009A7348" w:rsidRDefault="008517B1">
            <w:pPr>
              <w:pStyle w:val="TableParagraph"/>
              <w:rPr>
                <w:lang w:val="ru-RU"/>
              </w:rPr>
            </w:pPr>
          </w:p>
        </w:tc>
      </w:tr>
      <w:tr w:rsidR="008517B1" w:rsidRPr="00F765EF" w:rsidTr="009A7348">
        <w:trPr>
          <w:trHeight w:val="599"/>
        </w:trPr>
        <w:tc>
          <w:tcPr>
            <w:tcW w:w="9106" w:type="dxa"/>
            <w:gridSpan w:val="5"/>
          </w:tcPr>
          <w:p w:rsidR="008517B1" w:rsidRPr="009A7348" w:rsidRDefault="00283A43" w:rsidP="009A7348">
            <w:pPr>
              <w:pStyle w:val="TableParagraph"/>
              <w:spacing w:before="169"/>
              <w:ind w:left="107"/>
              <w:rPr>
                <w:rFonts w:ascii="Calibri" w:hAnsi="Calibri"/>
                <w:lang w:val="ru-RU"/>
              </w:rPr>
            </w:pPr>
            <w:hyperlink r:id="rId16">
              <w:r w:rsidR="008517B1" w:rsidRPr="009A7348">
                <w:rPr>
                  <w:color w:val="0000FF"/>
                  <w:spacing w:val="-56"/>
                  <w:u w:val="single" w:color="0000FF"/>
                  <w:lang w:val="ru-RU"/>
                </w:rPr>
                <w:t xml:space="preserve"> </w:t>
              </w:r>
              <w:r w:rsidR="008517B1" w:rsidRPr="009A7348">
                <w:rPr>
                  <w:rFonts w:ascii="Calibri" w:hAnsi="Calibri"/>
                  <w:color w:val="0000FF"/>
                  <w:u w:val="single" w:color="0000FF"/>
                  <w:lang w:val="ru-RU"/>
                </w:rPr>
                <w:t>Пропорционално прилагане на дисконтираните нетни приходи**</w:t>
              </w:r>
            </w:hyperlink>
          </w:p>
        </w:tc>
      </w:tr>
      <w:tr w:rsidR="008517B1" w:rsidTr="009A7348">
        <w:trPr>
          <w:trHeight w:val="2567"/>
        </w:trPr>
        <w:tc>
          <w:tcPr>
            <w:tcW w:w="516" w:type="dxa"/>
            <w:tcBorders>
              <w:left w:val="single" w:sz="6" w:space="0" w:color="000000"/>
              <w:bottom w:val="single" w:sz="6" w:space="0" w:color="000000"/>
              <w:right w:val="single" w:sz="6" w:space="0" w:color="000000"/>
            </w:tcBorders>
          </w:tcPr>
          <w:p w:rsidR="008517B1" w:rsidRDefault="008517B1" w:rsidP="009A7348">
            <w:pPr>
              <w:pStyle w:val="TableParagraph"/>
              <w:spacing w:before="116"/>
              <w:ind w:left="110"/>
            </w:pPr>
            <w:r>
              <w:t>7</w:t>
            </w:r>
          </w:p>
        </w:tc>
        <w:tc>
          <w:tcPr>
            <w:tcW w:w="2151" w:type="dxa"/>
            <w:tcBorders>
              <w:left w:val="single" w:sz="6" w:space="0" w:color="000000"/>
              <w:bottom w:val="single" w:sz="6" w:space="0" w:color="000000"/>
              <w:right w:val="single" w:sz="6" w:space="0" w:color="000000"/>
            </w:tcBorders>
          </w:tcPr>
          <w:p w:rsidR="008517B1" w:rsidRPr="009A7348" w:rsidRDefault="008517B1" w:rsidP="009A7348">
            <w:pPr>
              <w:pStyle w:val="TableParagraph"/>
              <w:spacing w:before="116" w:line="276" w:lineRule="auto"/>
              <w:ind w:left="110" w:right="120"/>
              <w:rPr>
                <w:lang w:val="ru-RU"/>
              </w:rPr>
            </w:pPr>
            <w:r w:rsidRPr="009A7348">
              <w:rPr>
                <w:lang w:val="ru-RU"/>
              </w:rPr>
              <w:t>Нетни приходи = приходи – оперативни разходи и разходи за подмяна + остатъчна</w:t>
            </w:r>
          </w:p>
          <w:p w:rsidR="008517B1" w:rsidRDefault="008517B1" w:rsidP="009A7348">
            <w:pPr>
              <w:pStyle w:val="TableParagraph"/>
              <w:spacing w:before="1" w:line="276" w:lineRule="auto"/>
              <w:ind w:left="165" w:right="508" w:hanging="56"/>
            </w:pPr>
            <w:r>
              <w:t>стойност = (5) – (6) + (4)</w:t>
            </w:r>
          </w:p>
        </w:tc>
        <w:tc>
          <w:tcPr>
            <w:tcW w:w="1608" w:type="dxa"/>
            <w:tcBorders>
              <w:left w:val="single" w:sz="6" w:space="0" w:color="000000"/>
              <w:bottom w:val="single" w:sz="6" w:space="0" w:color="000000"/>
              <w:right w:val="single" w:sz="6" w:space="0" w:color="000000"/>
            </w:tcBorders>
          </w:tcPr>
          <w:p w:rsidR="008517B1" w:rsidRDefault="008517B1">
            <w:pPr>
              <w:pStyle w:val="TableParagraph"/>
            </w:pPr>
          </w:p>
        </w:tc>
        <w:tc>
          <w:tcPr>
            <w:tcW w:w="1916" w:type="dxa"/>
            <w:tcBorders>
              <w:left w:val="single" w:sz="6" w:space="0" w:color="000000"/>
            </w:tcBorders>
          </w:tcPr>
          <w:p w:rsidR="008517B1" w:rsidRDefault="008517B1">
            <w:pPr>
              <w:pStyle w:val="TableParagraph"/>
            </w:pPr>
          </w:p>
        </w:tc>
        <w:tc>
          <w:tcPr>
            <w:tcW w:w="2915" w:type="dxa"/>
          </w:tcPr>
          <w:p w:rsidR="008517B1" w:rsidRDefault="008517B1">
            <w:pPr>
              <w:pStyle w:val="TableParagraph"/>
            </w:pPr>
          </w:p>
        </w:tc>
      </w:tr>
      <w:tr w:rsidR="008517B1" w:rsidRPr="00F765EF" w:rsidTr="009A734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399"/>
        </w:trPr>
        <w:tc>
          <w:tcPr>
            <w:tcW w:w="516" w:type="dxa"/>
            <w:tcBorders>
              <w:top w:val="nil"/>
            </w:tcBorders>
          </w:tcPr>
          <w:p w:rsidR="008517B1" w:rsidRDefault="008517B1" w:rsidP="009A7348">
            <w:pPr>
              <w:pStyle w:val="TableParagraph"/>
              <w:spacing w:before="112"/>
              <w:ind w:left="110"/>
            </w:pPr>
            <w:r>
              <w:t>8</w:t>
            </w:r>
          </w:p>
        </w:tc>
        <w:tc>
          <w:tcPr>
            <w:tcW w:w="2151" w:type="dxa"/>
            <w:tcBorders>
              <w:top w:val="nil"/>
            </w:tcBorders>
          </w:tcPr>
          <w:p w:rsidR="008517B1" w:rsidRPr="009A7348" w:rsidRDefault="008517B1" w:rsidP="009A7348">
            <w:pPr>
              <w:pStyle w:val="TableParagraph"/>
              <w:spacing w:before="112" w:line="276" w:lineRule="auto"/>
              <w:ind w:left="110" w:right="243"/>
              <w:rPr>
                <w:lang w:val="ru-RU"/>
              </w:rPr>
            </w:pPr>
            <w:r w:rsidRPr="009A7348">
              <w:rPr>
                <w:lang w:val="ru-RU"/>
              </w:rPr>
              <w:t>Общ размер на инвестиционните разходи – нетни приходи = (3) – (7)</w:t>
            </w:r>
          </w:p>
        </w:tc>
        <w:tc>
          <w:tcPr>
            <w:tcW w:w="1608" w:type="dxa"/>
            <w:tcBorders>
              <w:top w:val="nil"/>
              <w:bottom w:val="single" w:sz="8" w:space="0" w:color="000000"/>
              <w:right w:val="single" w:sz="8" w:space="0" w:color="000000"/>
            </w:tcBorders>
          </w:tcPr>
          <w:p w:rsidR="008517B1" w:rsidRPr="009A7348" w:rsidRDefault="008517B1">
            <w:pPr>
              <w:pStyle w:val="TableParagraph"/>
              <w:rPr>
                <w:lang w:val="ru-RU"/>
              </w:rPr>
            </w:pPr>
          </w:p>
        </w:tc>
        <w:tc>
          <w:tcPr>
            <w:tcW w:w="1916" w:type="dxa"/>
            <w:tcBorders>
              <w:top w:val="nil"/>
              <w:left w:val="single" w:sz="8" w:space="0" w:color="000000"/>
              <w:bottom w:val="single" w:sz="8" w:space="0" w:color="000000"/>
              <w:right w:val="single" w:sz="8" w:space="0" w:color="000000"/>
            </w:tcBorders>
          </w:tcPr>
          <w:p w:rsidR="008517B1" w:rsidRPr="009A7348" w:rsidRDefault="008517B1">
            <w:pPr>
              <w:pStyle w:val="TableParagraph"/>
              <w:rPr>
                <w:lang w:val="ru-RU"/>
              </w:rPr>
            </w:pPr>
          </w:p>
        </w:tc>
        <w:tc>
          <w:tcPr>
            <w:tcW w:w="2915" w:type="dxa"/>
            <w:tcBorders>
              <w:top w:val="nil"/>
              <w:left w:val="single" w:sz="8" w:space="0" w:color="000000"/>
              <w:bottom w:val="single" w:sz="8" w:space="0" w:color="000000"/>
              <w:right w:val="single" w:sz="8" w:space="0" w:color="000000"/>
            </w:tcBorders>
          </w:tcPr>
          <w:p w:rsidR="008517B1" w:rsidRPr="009A7348" w:rsidRDefault="008517B1">
            <w:pPr>
              <w:pStyle w:val="TableParagraph"/>
              <w:rPr>
                <w:lang w:val="ru-RU"/>
              </w:rPr>
            </w:pPr>
          </w:p>
        </w:tc>
      </w:tr>
      <w:tr w:rsidR="008517B1" w:rsidTr="009A734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989"/>
        </w:trPr>
        <w:tc>
          <w:tcPr>
            <w:tcW w:w="516" w:type="dxa"/>
          </w:tcPr>
          <w:p w:rsidR="008517B1" w:rsidRDefault="008517B1" w:rsidP="009A7348">
            <w:pPr>
              <w:pStyle w:val="TableParagraph"/>
              <w:spacing w:before="115"/>
              <w:ind w:left="110"/>
            </w:pPr>
            <w:r>
              <w:t>9</w:t>
            </w:r>
          </w:p>
        </w:tc>
        <w:tc>
          <w:tcPr>
            <w:tcW w:w="2151" w:type="dxa"/>
            <w:tcBorders>
              <w:bottom w:val="single" w:sz="8" w:space="0" w:color="000000"/>
            </w:tcBorders>
          </w:tcPr>
          <w:p w:rsidR="008517B1" w:rsidRPr="009A7348" w:rsidRDefault="008517B1" w:rsidP="009A7348">
            <w:pPr>
              <w:pStyle w:val="TableParagraph"/>
              <w:spacing w:before="115" w:line="276" w:lineRule="auto"/>
              <w:ind w:left="110" w:right="406"/>
              <w:rPr>
                <w:lang w:val="ru-RU"/>
              </w:rPr>
            </w:pPr>
            <w:r w:rsidRPr="009A7348">
              <w:rPr>
                <w:spacing w:val="-1"/>
                <w:lang w:val="ru-RU"/>
              </w:rPr>
              <w:t xml:space="preserve">Пропорционално </w:t>
            </w:r>
            <w:r w:rsidRPr="009A7348">
              <w:rPr>
                <w:lang w:val="ru-RU"/>
              </w:rPr>
              <w:t>прилагане на дисконтираните нетни приходи (в</w:t>
            </w:r>
            <w:r w:rsidRPr="009A7348">
              <w:rPr>
                <w:spacing w:val="-2"/>
                <w:lang w:val="ru-RU"/>
              </w:rPr>
              <w:t xml:space="preserve"> </w:t>
            </w:r>
            <w:r w:rsidRPr="009A7348">
              <w:rPr>
                <w:lang w:val="ru-RU"/>
              </w:rPr>
              <w:t>процентно</w:t>
            </w:r>
          </w:p>
          <w:p w:rsidR="008517B1" w:rsidRDefault="008517B1" w:rsidP="009A7348">
            <w:pPr>
              <w:pStyle w:val="TableParagraph"/>
              <w:ind w:left="110"/>
            </w:pPr>
            <w:r>
              <w:t>изражение) = (8)/(3)</w:t>
            </w:r>
          </w:p>
        </w:tc>
        <w:tc>
          <w:tcPr>
            <w:tcW w:w="3524" w:type="dxa"/>
            <w:gridSpan w:val="2"/>
            <w:tcBorders>
              <w:top w:val="single" w:sz="8" w:space="0" w:color="000000"/>
              <w:bottom w:val="single" w:sz="8" w:space="0" w:color="000000"/>
              <w:right w:val="single" w:sz="8" w:space="0" w:color="000000"/>
            </w:tcBorders>
          </w:tcPr>
          <w:p w:rsidR="008517B1" w:rsidRDefault="008517B1">
            <w:pPr>
              <w:pStyle w:val="TableParagraph"/>
            </w:pPr>
          </w:p>
        </w:tc>
        <w:tc>
          <w:tcPr>
            <w:tcW w:w="2915" w:type="dxa"/>
            <w:tcBorders>
              <w:top w:val="single" w:sz="8" w:space="0" w:color="000000"/>
              <w:left w:val="single" w:sz="8" w:space="0" w:color="000000"/>
              <w:bottom w:val="single" w:sz="8" w:space="0" w:color="000000"/>
              <w:right w:val="single" w:sz="8" w:space="0" w:color="000000"/>
            </w:tcBorders>
          </w:tcPr>
          <w:p w:rsidR="008517B1" w:rsidRDefault="008517B1" w:rsidP="005C3777">
            <w:pPr>
              <w:pStyle w:val="Heading11"/>
            </w:pPr>
          </w:p>
        </w:tc>
      </w:tr>
      <w:tr w:rsidR="008517B1" w:rsidRPr="00F765EF" w:rsidTr="009A734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75"/>
        </w:trPr>
        <w:tc>
          <w:tcPr>
            <w:tcW w:w="9106" w:type="dxa"/>
            <w:gridSpan w:val="5"/>
            <w:tcBorders>
              <w:top w:val="single" w:sz="8" w:space="0" w:color="000000"/>
              <w:left w:val="single" w:sz="8" w:space="0" w:color="000000"/>
              <w:bottom w:val="single" w:sz="8" w:space="0" w:color="000000"/>
              <w:right w:val="single" w:sz="8" w:space="0" w:color="000000"/>
            </w:tcBorders>
          </w:tcPr>
          <w:p w:rsidR="008517B1" w:rsidRPr="009A7348" w:rsidRDefault="008517B1" w:rsidP="009A7348">
            <w:pPr>
              <w:pStyle w:val="TableParagraph"/>
              <w:tabs>
                <w:tab w:val="left" w:pos="623"/>
              </w:tabs>
              <w:spacing w:before="111" w:line="278" w:lineRule="auto"/>
              <w:ind w:left="623" w:right="90" w:hanging="516"/>
              <w:rPr>
                <w:sz w:val="24"/>
                <w:lang w:val="ru-RU"/>
              </w:rPr>
            </w:pPr>
            <w:r w:rsidRPr="009A7348">
              <w:rPr>
                <w:sz w:val="24"/>
                <w:lang w:val="ru-RU"/>
              </w:rPr>
              <w:t>*</w:t>
            </w:r>
            <w:r w:rsidRPr="009A7348">
              <w:rPr>
                <w:sz w:val="24"/>
                <w:lang w:val="ru-RU"/>
              </w:rPr>
              <w:tab/>
              <w:t>Ако ДДС подлежи на възстановяване, разходите и приходите следва да се посочват като стойности без</w:t>
            </w:r>
            <w:r w:rsidRPr="009A7348">
              <w:rPr>
                <w:spacing w:val="-1"/>
                <w:sz w:val="24"/>
                <w:lang w:val="ru-RU"/>
              </w:rPr>
              <w:t xml:space="preserve"> </w:t>
            </w:r>
            <w:r w:rsidRPr="009A7348">
              <w:rPr>
                <w:sz w:val="24"/>
                <w:lang w:val="ru-RU"/>
              </w:rPr>
              <w:t>ДДС.</w:t>
            </w:r>
          </w:p>
        </w:tc>
      </w:tr>
      <w:tr w:rsidR="008517B1" w:rsidRPr="00F765EF" w:rsidTr="009A734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828"/>
        </w:trPr>
        <w:tc>
          <w:tcPr>
            <w:tcW w:w="9106" w:type="dxa"/>
            <w:gridSpan w:val="5"/>
            <w:tcBorders>
              <w:top w:val="single" w:sz="8" w:space="0" w:color="000000"/>
              <w:left w:val="single" w:sz="8" w:space="0" w:color="000000"/>
              <w:bottom w:val="single" w:sz="8" w:space="0" w:color="000000"/>
              <w:right w:val="single" w:sz="8" w:space="0" w:color="000000"/>
            </w:tcBorders>
          </w:tcPr>
          <w:p w:rsidR="008517B1" w:rsidRPr="009A7348" w:rsidRDefault="008517B1" w:rsidP="009A7348">
            <w:pPr>
              <w:pStyle w:val="TableParagraph"/>
              <w:spacing w:before="116" w:line="276" w:lineRule="auto"/>
              <w:ind w:left="623" w:right="88" w:hanging="516"/>
              <w:jc w:val="both"/>
              <w:rPr>
                <w:b/>
                <w:sz w:val="24"/>
                <w:lang w:val="ru-RU"/>
              </w:rPr>
            </w:pPr>
            <w:r w:rsidRPr="009A7348">
              <w:rPr>
                <w:sz w:val="24"/>
                <w:lang w:val="ru-RU"/>
              </w:rPr>
              <w:t xml:space="preserve">**  </w:t>
            </w:r>
            <w:r w:rsidRPr="009A7348">
              <w:rPr>
                <w:b/>
                <w:sz w:val="24"/>
                <w:lang w:val="ru-RU"/>
              </w:rPr>
              <w:t>Ако сумата на настоящите стойности на оперативните разходи и разходите  за подмяна е по-висока от настоящата стойност на приходите, проектът не се счита за генериращ приходи, като в този случай точки 7 и 8 могат да бъдат игнорирани и пропорционалното прилагане на дисконтираните нетни приходи в Таблица 2 следва да се определи на 100</w:t>
            </w:r>
            <w:r w:rsidRPr="009A7348">
              <w:rPr>
                <w:b/>
                <w:spacing w:val="-9"/>
                <w:sz w:val="24"/>
                <w:lang w:val="ru-RU"/>
              </w:rPr>
              <w:t xml:space="preserve"> </w:t>
            </w:r>
            <w:r w:rsidRPr="009A7348">
              <w:rPr>
                <w:b/>
                <w:sz w:val="24"/>
                <w:lang w:val="ru-RU"/>
              </w:rPr>
              <w:t>%</w:t>
            </w:r>
          </w:p>
        </w:tc>
      </w:tr>
    </w:tbl>
    <w:p w:rsidR="008517B1" w:rsidRPr="00977A76" w:rsidRDefault="008517B1">
      <w:pPr>
        <w:rPr>
          <w:lang w:val="ru-RU"/>
        </w:rPr>
      </w:pPr>
    </w:p>
    <w:sectPr w:rsidR="008517B1" w:rsidRPr="00977A76" w:rsidSect="008312E0">
      <w:headerReference w:type="even" r:id="rId17"/>
      <w:headerReference w:type="default" r:id="rId18"/>
      <w:footerReference w:type="even" r:id="rId19"/>
      <w:footerReference w:type="default" r:id="rId20"/>
      <w:headerReference w:type="first" r:id="rId21"/>
      <w:footerReference w:type="first" r:id="rId22"/>
      <w:pgSz w:w="11910" w:h="16840"/>
      <w:pgMar w:top="1520" w:right="1060" w:bottom="1160" w:left="1180" w:header="0" w:footer="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A43" w:rsidRDefault="00283A43" w:rsidP="0079636E">
      <w:r>
        <w:separator/>
      </w:r>
    </w:p>
  </w:endnote>
  <w:endnote w:type="continuationSeparator" w:id="0">
    <w:p w:rsidR="00283A43" w:rsidRDefault="00283A43" w:rsidP="0079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962" w:rsidRDefault="006C39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7B1" w:rsidRPr="00A968FA" w:rsidRDefault="008517B1" w:rsidP="005C3777">
    <w:pPr>
      <w:pStyle w:val="aa"/>
      <w:rPr>
        <w:lang w:val="ru-RU"/>
      </w:rPr>
    </w:pPr>
  </w:p>
  <w:p w:rsidR="008517B1" w:rsidRPr="00977A76" w:rsidRDefault="008517B1" w:rsidP="00977A76">
    <w:pPr>
      <w:pStyle w:val="aa"/>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962" w:rsidRDefault="006C39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A43" w:rsidRDefault="00283A43" w:rsidP="0079636E">
      <w:r>
        <w:separator/>
      </w:r>
    </w:p>
  </w:footnote>
  <w:footnote w:type="continuationSeparator" w:id="0">
    <w:p w:rsidR="00283A43" w:rsidRDefault="00283A43" w:rsidP="00796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962" w:rsidRDefault="006C396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7B1" w:rsidRDefault="008517B1" w:rsidP="00A629A9">
    <w:pPr>
      <w:jc w:val="center"/>
      <w:rPr>
        <w:noProof/>
        <w:lang w:val="ru-RU"/>
      </w:rPr>
    </w:pPr>
    <w:r>
      <w:rPr>
        <w:noProof/>
        <w:lang w:val="ru-RU" w:eastAsia="bg-BG"/>
      </w:rPr>
      <w:t xml:space="preserve">   </w:t>
    </w:r>
    <w:r w:rsidR="00283A43">
      <w:rPr>
        <w:noProof/>
        <w:lang w:val="bg-BG" w:eastAsia="bg-BG"/>
      </w:rPr>
      <w:pict>
        <v:rect id="Правоъгълник 12" o:spid="_x0000_s2051" style="position:absolute;left:0;text-align:left;margin-left:566.55pt;margin-top:437.75pt;width:56.25pt;height:25.95pt;z-index:1;visibility:visible;mso-position-horizontal-relative:page;mso-position-vertical-relative:page" o:allowincell="f" stroked="f">
          <v:textbox style="mso-next-textbox:#Правоъгълник 12">
            <w:txbxContent>
              <w:p w:rsidR="008517B1" w:rsidRDefault="008517B1" w:rsidP="00A629A9">
                <w:pPr>
                  <w:widowControl/>
                  <w:autoSpaceDE/>
                  <w:autoSpaceDN/>
                  <w:rPr>
                    <w:sz w:val="24"/>
                    <w:szCs w:val="24"/>
                    <w:lang w:val="bg-BG" w:eastAsia="bg-BG"/>
                  </w:rPr>
                </w:pPr>
                <w:r>
                  <w:rPr>
                    <w:sz w:val="24"/>
                    <w:szCs w:val="24"/>
                    <w:lang w:val="bg-BG" w:eastAsia="bg-BG"/>
                  </w:rPr>
                  <w:t xml:space="preserve"> </w:t>
                </w:r>
              </w:p>
              <w:p w:rsidR="008517B1" w:rsidRDefault="008517B1" w:rsidP="00A629A9">
                <w:pPr>
                  <w:pBdr>
                    <w:bottom w:val="single" w:sz="4" w:space="1" w:color="auto"/>
                  </w:pBdr>
                </w:pPr>
                <w:r>
                  <w:rPr>
                    <w:noProof/>
                  </w:rPr>
                  <w:fldChar w:fldCharType="begin"/>
                </w:r>
                <w:r>
                  <w:rPr>
                    <w:noProof/>
                  </w:rPr>
                  <w:instrText>PAGE   \* MERGEFORMAT</w:instrText>
                </w:r>
                <w:r>
                  <w:rPr>
                    <w:noProof/>
                  </w:rPr>
                  <w:fldChar w:fldCharType="separate"/>
                </w:r>
                <w:r w:rsidR="006C3962">
                  <w:rPr>
                    <w:noProof/>
                  </w:rPr>
                  <w:t>1</w:t>
                </w:r>
                <w:r>
                  <w:rPr>
                    <w:noProof/>
                  </w:rPr>
                  <w:fldChar w:fldCharType="end"/>
                </w:r>
              </w:p>
            </w:txbxContent>
          </v:textbox>
          <w10:wrap anchorx="page" anchory="page"/>
        </v:rect>
      </w:pict>
    </w:r>
    <w:r>
      <w:rPr>
        <w:lang w:val="ru-RU"/>
      </w:rPr>
      <w:t xml:space="preserve"> </w:t>
    </w:r>
    <w:r w:rsidR="00283A4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7" o:spid="_x0000_i1028" type="#_x0000_t75" style="width:75.75pt;height:56.25pt;visibility:visible">
          <v:imagedata r:id="rId1" o:title=""/>
        </v:shape>
      </w:pict>
    </w:r>
    <w:r>
      <w:rPr>
        <w:lang w:val="ru-RU"/>
      </w:rPr>
      <w:t xml:space="preserve">      </w:t>
    </w:r>
    <w:r w:rsidR="00283A43">
      <w:rPr>
        <w:noProof/>
      </w:rPr>
      <w:pict>
        <v:shape id="Картина 6" o:spid="_x0000_i1029" type="#_x0000_t75" style="width:63pt;height:51.75pt;visibility:visible">
          <v:imagedata r:id="rId2" o:title=""/>
        </v:shape>
      </w:pict>
    </w:r>
    <w:r>
      <w:rPr>
        <w:lang w:val="ru-RU"/>
      </w:rPr>
      <w:t xml:space="preserve">    </w:t>
    </w:r>
    <w:r w:rsidR="006C3962">
      <w:rPr>
        <w:sz w:val="16"/>
        <w:szCs w:val="16"/>
        <w:lang w:val="bg-BG"/>
      </w:rPr>
      <w:pict>
        <v:shape id="Картина 69" o:spid="_x0000_i1032" type="#_x0000_t75" style="width:73.5pt;height:55.5pt;visibility:visible;mso-wrap-style:square">
          <v:imagedata r:id="rId3" o:title=""/>
        </v:shape>
      </w:pict>
    </w:r>
    <w:r>
      <w:rPr>
        <w:lang w:val="ru-RU"/>
      </w:rPr>
      <w:t xml:space="preserve">      </w:t>
    </w:r>
    <w:r w:rsidR="00283A43">
      <w:rPr>
        <w:noProof/>
      </w:rPr>
      <w:pict>
        <v:shape id="Картина 5" o:spid="_x0000_i1030" type="#_x0000_t75" alt="logo-bg-right-no-back" style="width:112.5pt;height:54pt;visibility:visible">
          <v:imagedata r:id="rId4" o:title=""/>
        </v:shape>
      </w:pict>
    </w:r>
    <w:r>
      <w:rPr>
        <w:lang w:val="ru-RU"/>
      </w:rPr>
      <w:t xml:space="preserve"> </w:t>
    </w:r>
    <w:r w:rsidR="00283A43">
      <w:rPr>
        <w:noProof/>
      </w:rPr>
      <w:pict>
        <v:shape id="Картина 4" o:spid="_x0000_i1031" type="#_x0000_t75" style="width:61.5pt;height:45pt;visibility:visible" o:bordertopcolor="black" o:borderleftcolor="black" o:borderbottomcolor="black" o:borderrightcolor="black">
          <v:imagedata r:id="rId5" o:title=""/>
          <w10:bordertop type="single" width="6"/>
          <w10:borderleft type="single" width="6"/>
          <w10:borderbottom type="single" width="6"/>
          <w10:borderright type="single" width="6"/>
        </v:shape>
      </w:pict>
    </w:r>
  </w:p>
  <w:p w:rsidR="008517B1" w:rsidRPr="006C3962" w:rsidRDefault="008517B1" w:rsidP="00A629A9">
    <w:pPr>
      <w:jc w:val="center"/>
      <w:rPr>
        <w:b/>
        <w:color w:val="244061"/>
        <w:sz w:val="16"/>
        <w:szCs w:val="16"/>
        <w:lang w:val="ru-RU"/>
      </w:rPr>
    </w:pPr>
    <w:r w:rsidRPr="006C3962">
      <w:rPr>
        <w:b/>
        <w:noProof/>
        <w:color w:val="244061"/>
        <w:sz w:val="16"/>
        <w:szCs w:val="16"/>
        <w:lang w:val="ru-RU"/>
      </w:rPr>
      <w:t>ЕВРОПЕЙСКИ СЪЮЗ</w:t>
    </w:r>
  </w:p>
  <w:p w:rsidR="008517B1" w:rsidRPr="006C3962" w:rsidRDefault="008517B1" w:rsidP="00A629A9">
    <w:pPr>
      <w:pStyle w:val="3"/>
      <w:tabs>
        <w:tab w:val="left" w:pos="0"/>
      </w:tabs>
      <w:jc w:val="center"/>
      <w:rPr>
        <w:b/>
        <w:color w:val="17365D"/>
        <w:sz w:val="18"/>
        <w:szCs w:val="18"/>
        <w:lang w:val="ru-RU"/>
      </w:rPr>
    </w:pPr>
    <w:r w:rsidRPr="006C3962">
      <w:rPr>
        <w:b/>
        <w:color w:val="17365D"/>
        <w:sz w:val="18"/>
        <w:szCs w:val="18"/>
        <w:lang w:val="ru-RU"/>
      </w:rPr>
      <w:t>ЕВРОПЕЙСКИ ЗЕМЕДЕЛСКИ ФОНД ЗА РАЗВИТИЕ НА СЕЛСКИТЕ РАЙОНИ: ЕВРОПА ИНВЕСТИРА В СЕЛСКИТЕ РАЙОНИ</w:t>
    </w:r>
  </w:p>
  <w:p w:rsidR="008517B1" w:rsidRPr="006C3962" w:rsidRDefault="008517B1" w:rsidP="00A629A9">
    <w:pPr>
      <w:pStyle w:val="3"/>
      <w:tabs>
        <w:tab w:val="left" w:pos="0"/>
      </w:tabs>
      <w:jc w:val="center"/>
      <w:rPr>
        <w:color w:val="000080"/>
        <w:sz w:val="20"/>
        <w:szCs w:val="20"/>
        <w:lang w:val="ru-RU"/>
      </w:rPr>
    </w:pPr>
    <w:bookmarkStart w:id="0" w:name="_GoBack"/>
    <w:bookmarkEnd w:id="0"/>
    <w:r w:rsidRPr="006C3962">
      <w:rPr>
        <w:color w:val="000080"/>
        <w:lang w:val="ru-RU"/>
      </w:rPr>
      <w:t>ПРОГРАМА ЗА РАЗВИТИЕ НА СЕЛСКИТЕ РАЙОНИ 2014-2020 Г</w:t>
    </w:r>
  </w:p>
  <w:p w:rsidR="008517B1" w:rsidRPr="00A629A9" w:rsidRDefault="008517B1" w:rsidP="00A629A9">
    <w:pPr>
      <w:pStyle w:val="a8"/>
      <w:rPr>
        <w:szCs w:val="16"/>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962" w:rsidRDefault="006C39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A0AFA"/>
    <w:multiLevelType w:val="multilevel"/>
    <w:tmpl w:val="AA6EA9B4"/>
    <w:lvl w:ilvl="0">
      <w:start w:val="3"/>
      <w:numFmt w:val="decimal"/>
      <w:lvlText w:val="%1"/>
      <w:lvlJc w:val="left"/>
      <w:pPr>
        <w:ind w:left="236" w:hanging="425"/>
      </w:pPr>
      <w:rPr>
        <w:rFonts w:cs="Times New Roman" w:hint="default"/>
      </w:rPr>
    </w:lvl>
    <w:lvl w:ilvl="1">
      <w:start w:val="4"/>
      <w:numFmt w:val="decimal"/>
      <w:lvlText w:val="%1.%2."/>
      <w:lvlJc w:val="left"/>
      <w:pPr>
        <w:ind w:left="236" w:hanging="425"/>
      </w:pPr>
      <w:rPr>
        <w:rFonts w:ascii="Times New Roman" w:eastAsia="Times New Roman" w:hAnsi="Times New Roman" w:cs="Times New Roman" w:hint="default"/>
        <w:b/>
        <w:bCs/>
        <w:w w:val="100"/>
        <w:sz w:val="24"/>
        <w:szCs w:val="24"/>
      </w:rPr>
    </w:lvl>
    <w:lvl w:ilvl="2">
      <w:numFmt w:val="bullet"/>
      <w:lvlText w:val="•"/>
      <w:lvlJc w:val="left"/>
      <w:pPr>
        <w:ind w:left="2125" w:hanging="425"/>
      </w:pPr>
      <w:rPr>
        <w:rFonts w:hint="default"/>
      </w:rPr>
    </w:lvl>
    <w:lvl w:ilvl="3">
      <w:numFmt w:val="bullet"/>
      <w:lvlText w:val="•"/>
      <w:lvlJc w:val="left"/>
      <w:pPr>
        <w:ind w:left="3067" w:hanging="425"/>
      </w:pPr>
      <w:rPr>
        <w:rFonts w:hint="default"/>
      </w:rPr>
    </w:lvl>
    <w:lvl w:ilvl="4">
      <w:numFmt w:val="bullet"/>
      <w:lvlText w:val="•"/>
      <w:lvlJc w:val="left"/>
      <w:pPr>
        <w:ind w:left="4010" w:hanging="425"/>
      </w:pPr>
      <w:rPr>
        <w:rFonts w:hint="default"/>
      </w:rPr>
    </w:lvl>
    <w:lvl w:ilvl="5">
      <w:numFmt w:val="bullet"/>
      <w:lvlText w:val="•"/>
      <w:lvlJc w:val="left"/>
      <w:pPr>
        <w:ind w:left="4953" w:hanging="425"/>
      </w:pPr>
      <w:rPr>
        <w:rFonts w:hint="default"/>
      </w:rPr>
    </w:lvl>
    <w:lvl w:ilvl="6">
      <w:numFmt w:val="bullet"/>
      <w:lvlText w:val="•"/>
      <w:lvlJc w:val="left"/>
      <w:pPr>
        <w:ind w:left="5895" w:hanging="425"/>
      </w:pPr>
      <w:rPr>
        <w:rFonts w:hint="default"/>
      </w:rPr>
    </w:lvl>
    <w:lvl w:ilvl="7">
      <w:numFmt w:val="bullet"/>
      <w:lvlText w:val="•"/>
      <w:lvlJc w:val="left"/>
      <w:pPr>
        <w:ind w:left="6838" w:hanging="425"/>
      </w:pPr>
      <w:rPr>
        <w:rFonts w:hint="default"/>
      </w:rPr>
    </w:lvl>
    <w:lvl w:ilvl="8">
      <w:numFmt w:val="bullet"/>
      <w:lvlText w:val="•"/>
      <w:lvlJc w:val="left"/>
      <w:pPr>
        <w:ind w:left="7781" w:hanging="425"/>
      </w:pPr>
      <w:rPr>
        <w:rFonts w:hint="default"/>
      </w:rPr>
    </w:lvl>
  </w:abstractNum>
  <w:abstractNum w:abstractNumId="1" w15:restartNumberingAfterBreak="0">
    <w:nsid w:val="15E237DF"/>
    <w:multiLevelType w:val="hybridMultilevel"/>
    <w:tmpl w:val="55146308"/>
    <w:lvl w:ilvl="0" w:tplc="AE4052CE">
      <w:start w:val="1"/>
      <w:numFmt w:val="decimal"/>
      <w:lvlText w:val="%1)"/>
      <w:lvlJc w:val="left"/>
      <w:pPr>
        <w:ind w:left="1947" w:hanging="272"/>
      </w:pPr>
      <w:rPr>
        <w:rFonts w:ascii="Times New Roman" w:eastAsia="Times New Roman" w:hAnsi="Times New Roman" w:cs="Times New Roman" w:hint="default"/>
        <w:w w:val="99"/>
        <w:sz w:val="24"/>
        <w:szCs w:val="24"/>
      </w:rPr>
    </w:lvl>
    <w:lvl w:ilvl="1" w:tplc="03F2B9E6">
      <w:numFmt w:val="bullet"/>
      <w:lvlText w:val="•"/>
      <w:lvlJc w:val="left"/>
      <w:pPr>
        <w:ind w:left="2712" w:hanging="272"/>
      </w:pPr>
      <w:rPr>
        <w:rFonts w:hint="default"/>
      </w:rPr>
    </w:lvl>
    <w:lvl w:ilvl="2" w:tplc="27F42EC4">
      <w:numFmt w:val="bullet"/>
      <w:lvlText w:val="•"/>
      <w:lvlJc w:val="left"/>
      <w:pPr>
        <w:ind w:left="3485" w:hanging="272"/>
      </w:pPr>
      <w:rPr>
        <w:rFonts w:hint="default"/>
      </w:rPr>
    </w:lvl>
    <w:lvl w:ilvl="3" w:tplc="84F4F960">
      <w:numFmt w:val="bullet"/>
      <w:lvlText w:val="•"/>
      <w:lvlJc w:val="left"/>
      <w:pPr>
        <w:ind w:left="4257" w:hanging="272"/>
      </w:pPr>
      <w:rPr>
        <w:rFonts w:hint="default"/>
      </w:rPr>
    </w:lvl>
    <w:lvl w:ilvl="4" w:tplc="A44A281A">
      <w:numFmt w:val="bullet"/>
      <w:lvlText w:val="•"/>
      <w:lvlJc w:val="left"/>
      <w:pPr>
        <w:ind w:left="5030" w:hanging="272"/>
      </w:pPr>
      <w:rPr>
        <w:rFonts w:hint="default"/>
      </w:rPr>
    </w:lvl>
    <w:lvl w:ilvl="5" w:tplc="C908E3B2">
      <w:numFmt w:val="bullet"/>
      <w:lvlText w:val="•"/>
      <w:lvlJc w:val="left"/>
      <w:pPr>
        <w:ind w:left="5803" w:hanging="272"/>
      </w:pPr>
      <w:rPr>
        <w:rFonts w:hint="default"/>
      </w:rPr>
    </w:lvl>
    <w:lvl w:ilvl="6" w:tplc="E1261224">
      <w:numFmt w:val="bullet"/>
      <w:lvlText w:val="•"/>
      <w:lvlJc w:val="left"/>
      <w:pPr>
        <w:ind w:left="6575" w:hanging="272"/>
      </w:pPr>
      <w:rPr>
        <w:rFonts w:hint="default"/>
      </w:rPr>
    </w:lvl>
    <w:lvl w:ilvl="7" w:tplc="38F435E4">
      <w:numFmt w:val="bullet"/>
      <w:lvlText w:val="•"/>
      <w:lvlJc w:val="left"/>
      <w:pPr>
        <w:ind w:left="7348" w:hanging="272"/>
      </w:pPr>
      <w:rPr>
        <w:rFonts w:hint="default"/>
      </w:rPr>
    </w:lvl>
    <w:lvl w:ilvl="8" w:tplc="F626C9C8">
      <w:numFmt w:val="bullet"/>
      <w:lvlText w:val="•"/>
      <w:lvlJc w:val="left"/>
      <w:pPr>
        <w:ind w:left="8121" w:hanging="272"/>
      </w:pPr>
      <w:rPr>
        <w:rFonts w:hint="default"/>
      </w:rPr>
    </w:lvl>
  </w:abstractNum>
  <w:abstractNum w:abstractNumId="2" w15:restartNumberingAfterBreak="0">
    <w:nsid w:val="1F1A66ED"/>
    <w:multiLevelType w:val="multilevel"/>
    <w:tmpl w:val="06901DD8"/>
    <w:lvl w:ilvl="0">
      <w:start w:val="1"/>
      <w:numFmt w:val="decimal"/>
      <w:lvlText w:val="%1."/>
      <w:lvlJc w:val="left"/>
      <w:pPr>
        <w:ind w:left="236" w:hanging="243"/>
      </w:pPr>
      <w:rPr>
        <w:rFonts w:ascii="Times New Roman" w:eastAsia="Times New Roman" w:hAnsi="Times New Roman" w:cs="Times New Roman" w:hint="default"/>
        <w:b/>
        <w:bCs/>
        <w:w w:val="100"/>
        <w:sz w:val="24"/>
        <w:szCs w:val="24"/>
      </w:rPr>
    </w:lvl>
    <w:lvl w:ilvl="1">
      <w:start w:val="1"/>
      <w:numFmt w:val="decimal"/>
      <w:lvlText w:val="%1.%2."/>
      <w:lvlJc w:val="left"/>
      <w:pPr>
        <w:ind w:left="236" w:hanging="485"/>
      </w:pPr>
      <w:rPr>
        <w:rFonts w:ascii="Times New Roman" w:eastAsia="Times New Roman" w:hAnsi="Times New Roman" w:cs="Times New Roman" w:hint="default"/>
        <w:b/>
        <w:bCs/>
        <w:spacing w:val="-1"/>
        <w:w w:val="100"/>
        <w:sz w:val="24"/>
        <w:szCs w:val="24"/>
      </w:rPr>
    </w:lvl>
    <w:lvl w:ilvl="2">
      <w:numFmt w:val="bullet"/>
      <w:lvlText w:val="•"/>
      <w:lvlJc w:val="left"/>
      <w:pPr>
        <w:ind w:left="2125" w:hanging="485"/>
      </w:pPr>
      <w:rPr>
        <w:rFonts w:hint="default"/>
      </w:rPr>
    </w:lvl>
    <w:lvl w:ilvl="3">
      <w:numFmt w:val="bullet"/>
      <w:lvlText w:val="•"/>
      <w:lvlJc w:val="left"/>
      <w:pPr>
        <w:ind w:left="3067" w:hanging="485"/>
      </w:pPr>
      <w:rPr>
        <w:rFonts w:hint="default"/>
      </w:rPr>
    </w:lvl>
    <w:lvl w:ilvl="4">
      <w:numFmt w:val="bullet"/>
      <w:lvlText w:val="•"/>
      <w:lvlJc w:val="left"/>
      <w:pPr>
        <w:ind w:left="4010" w:hanging="485"/>
      </w:pPr>
      <w:rPr>
        <w:rFonts w:hint="default"/>
      </w:rPr>
    </w:lvl>
    <w:lvl w:ilvl="5">
      <w:numFmt w:val="bullet"/>
      <w:lvlText w:val="•"/>
      <w:lvlJc w:val="left"/>
      <w:pPr>
        <w:ind w:left="4953" w:hanging="485"/>
      </w:pPr>
      <w:rPr>
        <w:rFonts w:hint="default"/>
      </w:rPr>
    </w:lvl>
    <w:lvl w:ilvl="6">
      <w:numFmt w:val="bullet"/>
      <w:lvlText w:val="•"/>
      <w:lvlJc w:val="left"/>
      <w:pPr>
        <w:ind w:left="5895" w:hanging="485"/>
      </w:pPr>
      <w:rPr>
        <w:rFonts w:hint="default"/>
      </w:rPr>
    </w:lvl>
    <w:lvl w:ilvl="7">
      <w:numFmt w:val="bullet"/>
      <w:lvlText w:val="•"/>
      <w:lvlJc w:val="left"/>
      <w:pPr>
        <w:ind w:left="6838" w:hanging="485"/>
      </w:pPr>
      <w:rPr>
        <w:rFonts w:hint="default"/>
      </w:rPr>
    </w:lvl>
    <w:lvl w:ilvl="8">
      <w:numFmt w:val="bullet"/>
      <w:lvlText w:val="•"/>
      <w:lvlJc w:val="left"/>
      <w:pPr>
        <w:ind w:left="7781" w:hanging="485"/>
      </w:pPr>
      <w:rPr>
        <w:rFonts w:hint="default"/>
      </w:rPr>
    </w:lvl>
  </w:abstractNum>
  <w:abstractNum w:abstractNumId="3" w15:restartNumberingAfterBreak="0">
    <w:nsid w:val="32F117CD"/>
    <w:multiLevelType w:val="hybridMultilevel"/>
    <w:tmpl w:val="9FD09080"/>
    <w:lvl w:ilvl="0" w:tplc="E12CDD4E">
      <w:start w:val="1"/>
      <w:numFmt w:val="decimal"/>
      <w:lvlText w:val="%1)"/>
      <w:lvlJc w:val="left"/>
      <w:pPr>
        <w:ind w:left="236" w:hanging="183"/>
      </w:pPr>
      <w:rPr>
        <w:rFonts w:ascii="Times New Roman" w:eastAsia="Times New Roman" w:hAnsi="Times New Roman" w:cs="Times New Roman" w:hint="default"/>
        <w:i/>
        <w:w w:val="100"/>
        <w:sz w:val="16"/>
        <w:szCs w:val="16"/>
      </w:rPr>
    </w:lvl>
    <w:lvl w:ilvl="1" w:tplc="9F70028E">
      <w:numFmt w:val="bullet"/>
      <w:lvlText w:val="•"/>
      <w:lvlJc w:val="left"/>
      <w:pPr>
        <w:ind w:left="1182" w:hanging="183"/>
      </w:pPr>
      <w:rPr>
        <w:rFonts w:hint="default"/>
      </w:rPr>
    </w:lvl>
    <w:lvl w:ilvl="2" w:tplc="4DBA6446">
      <w:numFmt w:val="bullet"/>
      <w:lvlText w:val="•"/>
      <w:lvlJc w:val="left"/>
      <w:pPr>
        <w:ind w:left="2125" w:hanging="183"/>
      </w:pPr>
      <w:rPr>
        <w:rFonts w:hint="default"/>
      </w:rPr>
    </w:lvl>
    <w:lvl w:ilvl="3" w:tplc="435216BA">
      <w:numFmt w:val="bullet"/>
      <w:lvlText w:val="•"/>
      <w:lvlJc w:val="left"/>
      <w:pPr>
        <w:ind w:left="3067" w:hanging="183"/>
      </w:pPr>
      <w:rPr>
        <w:rFonts w:hint="default"/>
      </w:rPr>
    </w:lvl>
    <w:lvl w:ilvl="4" w:tplc="2C622F50">
      <w:numFmt w:val="bullet"/>
      <w:lvlText w:val="•"/>
      <w:lvlJc w:val="left"/>
      <w:pPr>
        <w:ind w:left="4010" w:hanging="183"/>
      </w:pPr>
      <w:rPr>
        <w:rFonts w:hint="default"/>
      </w:rPr>
    </w:lvl>
    <w:lvl w:ilvl="5" w:tplc="9170076E">
      <w:numFmt w:val="bullet"/>
      <w:lvlText w:val="•"/>
      <w:lvlJc w:val="left"/>
      <w:pPr>
        <w:ind w:left="4953" w:hanging="183"/>
      </w:pPr>
      <w:rPr>
        <w:rFonts w:hint="default"/>
      </w:rPr>
    </w:lvl>
    <w:lvl w:ilvl="6" w:tplc="52143B06">
      <w:numFmt w:val="bullet"/>
      <w:lvlText w:val="•"/>
      <w:lvlJc w:val="left"/>
      <w:pPr>
        <w:ind w:left="5895" w:hanging="183"/>
      </w:pPr>
      <w:rPr>
        <w:rFonts w:hint="default"/>
      </w:rPr>
    </w:lvl>
    <w:lvl w:ilvl="7" w:tplc="C2640668">
      <w:numFmt w:val="bullet"/>
      <w:lvlText w:val="•"/>
      <w:lvlJc w:val="left"/>
      <w:pPr>
        <w:ind w:left="6838" w:hanging="183"/>
      </w:pPr>
      <w:rPr>
        <w:rFonts w:hint="default"/>
      </w:rPr>
    </w:lvl>
    <w:lvl w:ilvl="8" w:tplc="238632BA">
      <w:numFmt w:val="bullet"/>
      <w:lvlText w:val="•"/>
      <w:lvlJc w:val="left"/>
      <w:pPr>
        <w:ind w:left="7781" w:hanging="183"/>
      </w:pPr>
      <w:rPr>
        <w:rFonts w:hint="default"/>
      </w:rPr>
    </w:lvl>
  </w:abstractNum>
  <w:abstractNum w:abstractNumId="4" w15:restartNumberingAfterBreak="0">
    <w:nsid w:val="3FBD737D"/>
    <w:multiLevelType w:val="hybridMultilevel"/>
    <w:tmpl w:val="8EE0AF04"/>
    <w:lvl w:ilvl="0" w:tplc="C1288CD2">
      <w:start w:val="1"/>
      <w:numFmt w:val="decimal"/>
      <w:lvlText w:val="%1)"/>
      <w:lvlJc w:val="left"/>
      <w:pPr>
        <w:ind w:left="236" w:hanging="183"/>
      </w:pPr>
      <w:rPr>
        <w:rFonts w:ascii="Times New Roman" w:eastAsia="Times New Roman" w:hAnsi="Times New Roman" w:cs="Times New Roman" w:hint="default"/>
        <w:i/>
        <w:w w:val="100"/>
        <w:sz w:val="16"/>
        <w:szCs w:val="16"/>
      </w:rPr>
    </w:lvl>
    <w:lvl w:ilvl="1" w:tplc="F05803AE">
      <w:numFmt w:val="bullet"/>
      <w:lvlText w:val="•"/>
      <w:lvlJc w:val="left"/>
      <w:pPr>
        <w:ind w:left="1182" w:hanging="183"/>
      </w:pPr>
      <w:rPr>
        <w:rFonts w:hint="default"/>
      </w:rPr>
    </w:lvl>
    <w:lvl w:ilvl="2" w:tplc="9C645522">
      <w:numFmt w:val="bullet"/>
      <w:lvlText w:val="•"/>
      <w:lvlJc w:val="left"/>
      <w:pPr>
        <w:ind w:left="2125" w:hanging="183"/>
      </w:pPr>
      <w:rPr>
        <w:rFonts w:hint="default"/>
      </w:rPr>
    </w:lvl>
    <w:lvl w:ilvl="3" w:tplc="58C4E3A4">
      <w:numFmt w:val="bullet"/>
      <w:lvlText w:val="•"/>
      <w:lvlJc w:val="left"/>
      <w:pPr>
        <w:ind w:left="3067" w:hanging="183"/>
      </w:pPr>
      <w:rPr>
        <w:rFonts w:hint="default"/>
      </w:rPr>
    </w:lvl>
    <w:lvl w:ilvl="4" w:tplc="B2667C0A">
      <w:numFmt w:val="bullet"/>
      <w:lvlText w:val="•"/>
      <w:lvlJc w:val="left"/>
      <w:pPr>
        <w:ind w:left="4010" w:hanging="183"/>
      </w:pPr>
      <w:rPr>
        <w:rFonts w:hint="default"/>
      </w:rPr>
    </w:lvl>
    <w:lvl w:ilvl="5" w:tplc="FE082F48">
      <w:numFmt w:val="bullet"/>
      <w:lvlText w:val="•"/>
      <w:lvlJc w:val="left"/>
      <w:pPr>
        <w:ind w:left="4953" w:hanging="183"/>
      </w:pPr>
      <w:rPr>
        <w:rFonts w:hint="default"/>
      </w:rPr>
    </w:lvl>
    <w:lvl w:ilvl="6" w:tplc="42DA0F1C">
      <w:numFmt w:val="bullet"/>
      <w:lvlText w:val="•"/>
      <w:lvlJc w:val="left"/>
      <w:pPr>
        <w:ind w:left="5895" w:hanging="183"/>
      </w:pPr>
      <w:rPr>
        <w:rFonts w:hint="default"/>
      </w:rPr>
    </w:lvl>
    <w:lvl w:ilvl="7" w:tplc="FC8C2B4E">
      <w:numFmt w:val="bullet"/>
      <w:lvlText w:val="•"/>
      <w:lvlJc w:val="left"/>
      <w:pPr>
        <w:ind w:left="6838" w:hanging="183"/>
      </w:pPr>
      <w:rPr>
        <w:rFonts w:hint="default"/>
      </w:rPr>
    </w:lvl>
    <w:lvl w:ilvl="8" w:tplc="B4BCFD5E">
      <w:numFmt w:val="bullet"/>
      <w:lvlText w:val="•"/>
      <w:lvlJc w:val="left"/>
      <w:pPr>
        <w:ind w:left="7781" w:hanging="183"/>
      </w:pPr>
      <w:rPr>
        <w:rFonts w:hint="default"/>
      </w:rPr>
    </w:lvl>
  </w:abstractNum>
  <w:abstractNum w:abstractNumId="5" w15:restartNumberingAfterBreak="0">
    <w:nsid w:val="48AD58AB"/>
    <w:multiLevelType w:val="multilevel"/>
    <w:tmpl w:val="581EF420"/>
    <w:lvl w:ilvl="0">
      <w:start w:val="3"/>
      <w:numFmt w:val="decimal"/>
      <w:lvlText w:val="%1"/>
      <w:lvlJc w:val="left"/>
      <w:pPr>
        <w:ind w:left="236" w:hanging="301"/>
      </w:pPr>
      <w:rPr>
        <w:rFonts w:cs="Times New Roman" w:hint="default"/>
      </w:rPr>
    </w:lvl>
    <w:lvl w:ilvl="1">
      <w:start w:val="3"/>
      <w:numFmt w:val="decimal"/>
      <w:lvlText w:val="%1.%2"/>
      <w:lvlJc w:val="left"/>
      <w:pPr>
        <w:ind w:left="236" w:hanging="301"/>
      </w:pPr>
      <w:rPr>
        <w:rFonts w:ascii="Times New Roman" w:eastAsia="Times New Roman" w:hAnsi="Times New Roman" w:cs="Times New Roman" w:hint="default"/>
        <w:b/>
        <w:bCs/>
        <w:w w:val="100"/>
        <w:sz w:val="22"/>
        <w:szCs w:val="22"/>
      </w:rPr>
    </w:lvl>
    <w:lvl w:ilvl="2">
      <w:start w:val="1"/>
      <w:numFmt w:val="decimal"/>
      <w:lvlText w:val="%3)"/>
      <w:lvlJc w:val="left"/>
      <w:pPr>
        <w:ind w:left="236" w:hanging="264"/>
      </w:pPr>
      <w:rPr>
        <w:rFonts w:ascii="Times New Roman" w:eastAsia="Times New Roman" w:hAnsi="Times New Roman" w:cs="Times New Roman" w:hint="default"/>
        <w:w w:val="99"/>
        <w:sz w:val="24"/>
        <w:szCs w:val="24"/>
      </w:rPr>
    </w:lvl>
    <w:lvl w:ilvl="3">
      <w:numFmt w:val="bullet"/>
      <w:lvlText w:val="•"/>
      <w:lvlJc w:val="left"/>
      <w:pPr>
        <w:ind w:left="3067" w:hanging="264"/>
      </w:pPr>
      <w:rPr>
        <w:rFonts w:hint="default"/>
      </w:rPr>
    </w:lvl>
    <w:lvl w:ilvl="4">
      <w:numFmt w:val="bullet"/>
      <w:lvlText w:val="•"/>
      <w:lvlJc w:val="left"/>
      <w:pPr>
        <w:ind w:left="4010" w:hanging="264"/>
      </w:pPr>
      <w:rPr>
        <w:rFonts w:hint="default"/>
      </w:rPr>
    </w:lvl>
    <w:lvl w:ilvl="5">
      <w:numFmt w:val="bullet"/>
      <w:lvlText w:val="•"/>
      <w:lvlJc w:val="left"/>
      <w:pPr>
        <w:ind w:left="4953" w:hanging="264"/>
      </w:pPr>
      <w:rPr>
        <w:rFonts w:hint="default"/>
      </w:rPr>
    </w:lvl>
    <w:lvl w:ilvl="6">
      <w:numFmt w:val="bullet"/>
      <w:lvlText w:val="•"/>
      <w:lvlJc w:val="left"/>
      <w:pPr>
        <w:ind w:left="5895" w:hanging="264"/>
      </w:pPr>
      <w:rPr>
        <w:rFonts w:hint="default"/>
      </w:rPr>
    </w:lvl>
    <w:lvl w:ilvl="7">
      <w:numFmt w:val="bullet"/>
      <w:lvlText w:val="•"/>
      <w:lvlJc w:val="left"/>
      <w:pPr>
        <w:ind w:left="6838" w:hanging="264"/>
      </w:pPr>
      <w:rPr>
        <w:rFonts w:hint="default"/>
      </w:rPr>
    </w:lvl>
    <w:lvl w:ilvl="8">
      <w:numFmt w:val="bullet"/>
      <w:lvlText w:val="•"/>
      <w:lvlJc w:val="left"/>
      <w:pPr>
        <w:ind w:left="7781" w:hanging="264"/>
      </w:pPr>
      <w:rPr>
        <w:rFonts w:hint="default"/>
      </w:rPr>
    </w:lvl>
  </w:abstractNum>
  <w:abstractNum w:abstractNumId="6" w15:restartNumberingAfterBreak="0">
    <w:nsid w:val="59CF1458"/>
    <w:multiLevelType w:val="multilevel"/>
    <w:tmpl w:val="18527712"/>
    <w:lvl w:ilvl="0">
      <w:start w:val="3"/>
      <w:numFmt w:val="decimal"/>
      <w:lvlText w:val="%1"/>
      <w:lvlJc w:val="left"/>
      <w:pPr>
        <w:ind w:left="1052" w:hanging="545"/>
      </w:pPr>
      <w:rPr>
        <w:rFonts w:cs="Times New Roman" w:hint="default"/>
      </w:rPr>
    </w:lvl>
    <w:lvl w:ilvl="1">
      <w:start w:val="10"/>
      <w:numFmt w:val="decimal"/>
      <w:lvlText w:val="%1.%2."/>
      <w:lvlJc w:val="left"/>
      <w:pPr>
        <w:ind w:left="1052" w:hanging="545"/>
      </w:pPr>
      <w:rPr>
        <w:rFonts w:ascii="Times New Roman" w:eastAsia="Times New Roman" w:hAnsi="Times New Roman" w:cs="Times New Roman" w:hint="default"/>
        <w:b/>
        <w:bCs/>
        <w:w w:val="100"/>
        <w:sz w:val="24"/>
        <w:szCs w:val="24"/>
      </w:rPr>
    </w:lvl>
    <w:lvl w:ilvl="2">
      <w:start w:val="1"/>
      <w:numFmt w:val="decimal"/>
      <w:lvlText w:val="%3)"/>
      <w:lvlJc w:val="left"/>
      <w:pPr>
        <w:ind w:left="956" w:hanging="272"/>
      </w:pPr>
      <w:rPr>
        <w:rFonts w:ascii="Times New Roman" w:eastAsia="Times New Roman" w:hAnsi="Times New Roman" w:cs="Times New Roman" w:hint="default"/>
        <w:w w:val="99"/>
        <w:sz w:val="24"/>
        <w:szCs w:val="24"/>
      </w:rPr>
    </w:lvl>
    <w:lvl w:ilvl="3">
      <w:numFmt w:val="bullet"/>
      <w:lvlText w:val="•"/>
      <w:lvlJc w:val="left"/>
      <w:pPr>
        <w:ind w:left="2972" w:hanging="272"/>
      </w:pPr>
      <w:rPr>
        <w:rFonts w:hint="default"/>
      </w:rPr>
    </w:lvl>
    <w:lvl w:ilvl="4">
      <w:numFmt w:val="bullet"/>
      <w:lvlText w:val="•"/>
      <w:lvlJc w:val="left"/>
      <w:pPr>
        <w:ind w:left="3928" w:hanging="272"/>
      </w:pPr>
      <w:rPr>
        <w:rFonts w:hint="default"/>
      </w:rPr>
    </w:lvl>
    <w:lvl w:ilvl="5">
      <w:numFmt w:val="bullet"/>
      <w:lvlText w:val="•"/>
      <w:lvlJc w:val="left"/>
      <w:pPr>
        <w:ind w:left="4885" w:hanging="272"/>
      </w:pPr>
      <w:rPr>
        <w:rFonts w:hint="default"/>
      </w:rPr>
    </w:lvl>
    <w:lvl w:ilvl="6">
      <w:numFmt w:val="bullet"/>
      <w:lvlText w:val="•"/>
      <w:lvlJc w:val="left"/>
      <w:pPr>
        <w:ind w:left="5841" w:hanging="272"/>
      </w:pPr>
      <w:rPr>
        <w:rFonts w:hint="default"/>
      </w:rPr>
    </w:lvl>
    <w:lvl w:ilvl="7">
      <w:numFmt w:val="bullet"/>
      <w:lvlText w:val="•"/>
      <w:lvlJc w:val="left"/>
      <w:pPr>
        <w:ind w:left="6797" w:hanging="272"/>
      </w:pPr>
      <w:rPr>
        <w:rFonts w:hint="default"/>
      </w:rPr>
    </w:lvl>
    <w:lvl w:ilvl="8">
      <w:numFmt w:val="bullet"/>
      <w:lvlText w:val="•"/>
      <w:lvlJc w:val="left"/>
      <w:pPr>
        <w:ind w:left="7753" w:hanging="272"/>
      </w:pPr>
      <w:rPr>
        <w:rFonts w:hint="default"/>
      </w:rPr>
    </w:lvl>
  </w:abstractNum>
  <w:num w:numId="1">
    <w:abstractNumId w:val="1"/>
  </w:num>
  <w:num w:numId="2">
    <w:abstractNumId w:val="6"/>
  </w:num>
  <w:num w:numId="3">
    <w:abstractNumId w:val="0"/>
  </w:num>
  <w:num w:numId="4">
    <w:abstractNumId w:val="3"/>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36E"/>
    <w:rsid w:val="000715D9"/>
    <w:rsid w:val="000F3B1D"/>
    <w:rsid w:val="001D2A2B"/>
    <w:rsid w:val="0023408A"/>
    <w:rsid w:val="00283A43"/>
    <w:rsid w:val="00290F53"/>
    <w:rsid w:val="003476F1"/>
    <w:rsid w:val="003E39D9"/>
    <w:rsid w:val="0045162C"/>
    <w:rsid w:val="00471785"/>
    <w:rsid w:val="004926D5"/>
    <w:rsid w:val="004B5D4D"/>
    <w:rsid w:val="005A550F"/>
    <w:rsid w:val="005C3777"/>
    <w:rsid w:val="005F1A54"/>
    <w:rsid w:val="006A4DE1"/>
    <w:rsid w:val="006C3962"/>
    <w:rsid w:val="006D1C88"/>
    <w:rsid w:val="006E21A4"/>
    <w:rsid w:val="0079636E"/>
    <w:rsid w:val="008059AA"/>
    <w:rsid w:val="008312E0"/>
    <w:rsid w:val="008517B1"/>
    <w:rsid w:val="00861B7F"/>
    <w:rsid w:val="00862162"/>
    <w:rsid w:val="00876121"/>
    <w:rsid w:val="009267EC"/>
    <w:rsid w:val="00941B8E"/>
    <w:rsid w:val="00977A76"/>
    <w:rsid w:val="00986276"/>
    <w:rsid w:val="009A7348"/>
    <w:rsid w:val="009E125F"/>
    <w:rsid w:val="00A629A9"/>
    <w:rsid w:val="00A95BBC"/>
    <w:rsid w:val="00A968FA"/>
    <w:rsid w:val="00AF2CCE"/>
    <w:rsid w:val="00B23BDE"/>
    <w:rsid w:val="00BC1385"/>
    <w:rsid w:val="00BE37E9"/>
    <w:rsid w:val="00C031AD"/>
    <w:rsid w:val="00C46B9A"/>
    <w:rsid w:val="00D80561"/>
    <w:rsid w:val="00F765EF"/>
    <w:rsid w:val="00F86EB2"/>
    <w:rsid w:val="00F90F7B"/>
    <w:rsid w:val="00FF783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242121F1-A1D9-46B7-A0B1-188934062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36E"/>
    <w:pPr>
      <w:widowControl w:val="0"/>
      <w:autoSpaceDE w:val="0"/>
      <w:autoSpaceDN w:val="0"/>
    </w:pPr>
    <w:rPr>
      <w:rFonts w:ascii="Times New Roman" w:eastAsia="Times New Roman" w:hAnsi="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77A76"/>
    <w:rPr>
      <w:rFonts w:ascii="Tahoma" w:eastAsia="Calibri" w:hAnsi="Tahoma"/>
      <w:sz w:val="16"/>
      <w:szCs w:val="16"/>
      <w:lang w:val="bg-BG" w:eastAsia="bg-BG"/>
    </w:rPr>
  </w:style>
  <w:style w:type="character" w:customStyle="1" w:styleId="a4">
    <w:name w:val="Изнесен текст Знак"/>
    <w:link w:val="a3"/>
    <w:uiPriority w:val="99"/>
    <w:semiHidden/>
    <w:locked/>
    <w:rsid w:val="00977A76"/>
    <w:rPr>
      <w:rFonts w:ascii="Tahoma" w:hAnsi="Tahoma"/>
      <w:sz w:val="16"/>
    </w:rPr>
  </w:style>
  <w:style w:type="table" w:customStyle="1" w:styleId="TableNormal1">
    <w:name w:val="Table Normal1"/>
    <w:uiPriority w:val="99"/>
    <w:semiHidden/>
    <w:rsid w:val="0079636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5">
    <w:name w:val="Body Text"/>
    <w:basedOn w:val="a"/>
    <w:link w:val="a6"/>
    <w:uiPriority w:val="99"/>
    <w:rsid w:val="0079636E"/>
    <w:pPr>
      <w:ind w:left="236"/>
    </w:pPr>
    <w:rPr>
      <w:rFonts w:eastAsia="Calibri"/>
      <w:sz w:val="20"/>
      <w:szCs w:val="20"/>
    </w:rPr>
  </w:style>
  <w:style w:type="character" w:customStyle="1" w:styleId="a6">
    <w:name w:val="Основен текст Знак"/>
    <w:link w:val="a5"/>
    <w:uiPriority w:val="99"/>
    <w:semiHidden/>
    <w:locked/>
    <w:rsid w:val="00F86EB2"/>
    <w:rPr>
      <w:rFonts w:ascii="Times New Roman" w:hAnsi="Times New Roman"/>
      <w:lang w:val="en-US" w:eastAsia="en-US"/>
    </w:rPr>
  </w:style>
  <w:style w:type="paragraph" w:customStyle="1" w:styleId="Heading11">
    <w:name w:val="Heading 11"/>
    <w:basedOn w:val="a"/>
    <w:uiPriority w:val="99"/>
    <w:rsid w:val="0079636E"/>
    <w:pPr>
      <w:spacing w:before="18"/>
      <w:ind w:left="236"/>
      <w:outlineLvl w:val="1"/>
    </w:pPr>
    <w:rPr>
      <w:b/>
      <w:bCs/>
      <w:sz w:val="24"/>
      <w:szCs w:val="24"/>
    </w:rPr>
  </w:style>
  <w:style w:type="paragraph" w:styleId="a7">
    <w:name w:val="List Paragraph"/>
    <w:basedOn w:val="a"/>
    <w:uiPriority w:val="99"/>
    <w:qFormat/>
    <w:rsid w:val="0079636E"/>
    <w:pPr>
      <w:spacing w:before="160"/>
      <w:ind w:left="236"/>
    </w:pPr>
  </w:style>
  <w:style w:type="paragraph" w:customStyle="1" w:styleId="TableParagraph">
    <w:name w:val="Table Paragraph"/>
    <w:basedOn w:val="a"/>
    <w:uiPriority w:val="99"/>
    <w:rsid w:val="0079636E"/>
  </w:style>
  <w:style w:type="paragraph" w:styleId="a8">
    <w:name w:val="header"/>
    <w:basedOn w:val="a"/>
    <w:link w:val="a9"/>
    <w:uiPriority w:val="99"/>
    <w:rsid w:val="00977A76"/>
    <w:pPr>
      <w:tabs>
        <w:tab w:val="center" w:pos="4536"/>
        <w:tab w:val="right" w:pos="9072"/>
      </w:tabs>
    </w:pPr>
    <w:rPr>
      <w:rFonts w:eastAsia="Calibri"/>
      <w:sz w:val="20"/>
      <w:szCs w:val="20"/>
      <w:lang w:val="bg-BG" w:eastAsia="bg-BG"/>
    </w:rPr>
  </w:style>
  <w:style w:type="character" w:customStyle="1" w:styleId="a9">
    <w:name w:val="Горен колонтитул Знак"/>
    <w:link w:val="a8"/>
    <w:uiPriority w:val="99"/>
    <w:locked/>
    <w:rsid w:val="00977A76"/>
    <w:rPr>
      <w:rFonts w:ascii="Times New Roman" w:hAnsi="Times New Roman"/>
    </w:rPr>
  </w:style>
  <w:style w:type="paragraph" w:styleId="aa">
    <w:name w:val="footer"/>
    <w:basedOn w:val="a"/>
    <w:link w:val="ab"/>
    <w:uiPriority w:val="99"/>
    <w:rsid w:val="00977A76"/>
    <w:pPr>
      <w:tabs>
        <w:tab w:val="center" w:pos="4536"/>
        <w:tab w:val="right" w:pos="9072"/>
      </w:tabs>
    </w:pPr>
    <w:rPr>
      <w:rFonts w:eastAsia="Calibri"/>
      <w:sz w:val="20"/>
      <w:szCs w:val="20"/>
      <w:lang w:val="bg-BG" w:eastAsia="bg-BG"/>
    </w:rPr>
  </w:style>
  <w:style w:type="character" w:customStyle="1" w:styleId="ab">
    <w:name w:val="Долен колонтитул Знак"/>
    <w:link w:val="aa"/>
    <w:uiPriority w:val="99"/>
    <w:locked/>
    <w:rsid w:val="00977A76"/>
    <w:rPr>
      <w:rFonts w:ascii="Times New Roman" w:hAnsi="Times New Roman"/>
    </w:rPr>
  </w:style>
  <w:style w:type="character" w:styleId="ac">
    <w:name w:val="Hyperlink"/>
    <w:uiPriority w:val="99"/>
    <w:rsid w:val="00977A76"/>
    <w:rPr>
      <w:rFonts w:cs="Times New Roman"/>
      <w:color w:val="0000FF"/>
      <w:u w:val="single"/>
    </w:rPr>
  </w:style>
  <w:style w:type="paragraph" w:styleId="3">
    <w:name w:val="Body Text 3"/>
    <w:basedOn w:val="a"/>
    <w:link w:val="30"/>
    <w:uiPriority w:val="99"/>
    <w:rsid w:val="00A629A9"/>
    <w:pPr>
      <w:spacing w:after="120"/>
    </w:pPr>
    <w:rPr>
      <w:rFonts w:eastAsia="Calibri"/>
      <w:sz w:val="16"/>
      <w:szCs w:val="16"/>
    </w:rPr>
  </w:style>
  <w:style w:type="character" w:customStyle="1" w:styleId="30">
    <w:name w:val="Основен текст 3 Знак"/>
    <w:link w:val="3"/>
    <w:uiPriority w:val="99"/>
    <w:semiHidden/>
    <w:locked/>
    <w:rsid w:val="00F86EB2"/>
    <w:rPr>
      <w:rFonts w:ascii="Times New Roman" w:hAnsi="Times New Roman"/>
      <w:sz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849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ur-lex.europa.eu/legal-content/BG/TXT/HTML/?uri=CELEX%3A32015R0207&amp;amp;qid=1429787363353&amp;amp;from=EN&amp;amp;ntr31-L_2015038BG.01001101-E0031"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ec.europa.eu/regional_policy/sources/docgener/studies/pdf/cba_guide.pdf" TargetMode="External"/><Relationship Id="rId12" Type="http://schemas.openxmlformats.org/officeDocument/2006/relationships/hyperlink" Target="http://eur-lex.europa.eu/legal-content/BG/TXT/HTML/?uri=CELEX%3A32015R0207&amp;amp;qid=1429787363353&amp;amp;from=EN&amp;amp;ntr30-L_2015038BG.01001101-E003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ur-lex.europa.eu/legal-content/BG/TXT/HTML/?uri=CELEX%3A32015R0207&amp;amp;qid=1429787363353&amp;amp;from=EN&amp;amp;ntr32-L_2015038BG.01001101-E0032"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gal-content/BG/TXT/HTML/?uri=CELEX%3A32015R0207&amp;amp;qid=1429787363353&amp;amp;from=EN&amp;amp;ntr30-L_2015038BG.01001101-E003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ur-lex.europa.eu/legal-content/BG/TXT/HTML/?uri=CELEX%3A32015R0207&amp;amp;qid=1429787363353&amp;amp;from=EN&amp;amp;ntr31-L_2015038BG.01001101-E0031"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eur-lex.europa.eu/legal-content/BG/TXT/HTML/?uri=CELEX%3A32015R0207&amp;amp;qid=1429787363353&amp;amp;from=EN&amp;amp;ntr31-L_2015038BG.01001101-E0031"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emf"/><Relationship Id="rId5" Type="http://schemas.openxmlformats.org/officeDocument/2006/relationships/image" Target="media/image8.emf"/><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2541</Words>
  <Characters>14488</Characters>
  <Application>Microsoft Office Word</Application>
  <DocSecurity>0</DocSecurity>
  <Lines>120</Lines>
  <Paragraphs>33</Paragraphs>
  <ScaleCrop>false</ScaleCrop>
  <Company/>
  <LinksUpToDate>false</LinksUpToDate>
  <CharactersWithSpaces>16996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User</cp:lastModifiedBy>
  <cp:revision>4</cp:revision>
  <dcterms:created xsi:type="dcterms:W3CDTF">2018-07-24T13:02:00Z</dcterms:created>
  <dcterms:modified xsi:type="dcterms:W3CDTF">2022-11-07T09:14:00Z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